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Verdana" w:hAnsi="Verdana" w:eastAsia="Calibri" w:cs="Times New Roman"/>
          <w:sz w:val="20"/>
          <w:szCs w:val="20"/>
          <w:lang w:eastAsia="en-US" w:bidi="ar-SA"/>
        </w:rPr>
      </w:pPr>
      <w:r>
        <w:rPr>
          <w:rFonts w:eastAsia="Calibri" w:cs="Times New Roman" w:ascii="Verdana" w:hAnsi="Verdana"/>
          <w:sz w:val="20"/>
          <w:szCs w:val="20"/>
          <w:lang w:eastAsia="en-US" w:bidi="ar-SA"/>
        </w:rPr>
        <w:drawing>
          <wp:anchor behindDoc="0" distT="0" distB="0" distL="89535" distR="89535" simplePos="0" locked="0" layoutInCell="0" allowOverlap="1" relativeHeight="2">
            <wp:simplePos x="0" y="0"/>
            <wp:positionH relativeFrom="page">
              <wp:posOffset>5697220</wp:posOffset>
            </wp:positionH>
            <wp:positionV relativeFrom="paragraph">
              <wp:posOffset>22225</wp:posOffset>
            </wp:positionV>
            <wp:extent cx="951865" cy="951865"/>
            <wp:effectExtent l="0" t="0" r="0" b="0"/>
            <wp:wrapSquare wrapText="bothSides"/>
            <wp:docPr id="1" name="Bild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
                    <pic:cNvPicPr>
                      <a:picLocks noChangeAspect="1" noChangeArrowheads="1"/>
                    </pic:cNvPicPr>
                  </pic:nvPicPr>
                  <pic:blipFill>
                    <a:blip r:embed="rId2"/>
                    <a:stretch>
                      <a:fillRect/>
                    </a:stretch>
                  </pic:blipFill>
                  <pic:spPr bwMode="auto">
                    <a:xfrm>
                      <a:off x="0" y="0"/>
                      <a:ext cx="951865" cy="951865"/>
                    </a:xfrm>
                    <a:prstGeom prst="rect">
                      <a:avLst/>
                    </a:prstGeom>
                    <a:solidFill>
                      <a:srgbClr val="ffffff"/>
                    </a:solidFill>
                  </pic:spPr>
                </pic:pic>
              </a:graphicData>
            </a:graphic>
          </wp:anchor>
        </w:drawing>
        <mc:AlternateContent>
          <mc:Choice Requires="wps">
            <w:drawing>
              <wp:anchor behindDoc="0" distT="0" distB="19050" distL="0" distR="12065" simplePos="0" locked="0" layoutInCell="1" allowOverlap="1" relativeHeight="3">
                <wp:simplePos x="0" y="0"/>
                <wp:positionH relativeFrom="column">
                  <wp:posOffset>-24130</wp:posOffset>
                </wp:positionH>
                <wp:positionV relativeFrom="paragraph">
                  <wp:posOffset>-70485</wp:posOffset>
                </wp:positionV>
                <wp:extent cx="6045835" cy="1143000"/>
                <wp:effectExtent l="10160" t="9525" r="8890" b="9525"/>
                <wp:wrapNone/>
                <wp:docPr id="2" name="Rectangle 3"/>
                <a:graphic xmlns:a="http://schemas.openxmlformats.org/drawingml/2006/main">
                  <a:graphicData uri="http://schemas.microsoft.com/office/word/2010/wordprocessingShape">
                    <wps:wsp>
                      <wps:cNvSpPr/>
                      <wps:spPr>
                        <a:xfrm>
                          <a:off x="0" y="0"/>
                          <a:ext cx="6045840" cy="1143000"/>
                        </a:xfrm>
                        <a:prstGeom prst="rect">
                          <a:avLst/>
                        </a:prstGeom>
                        <a:noFill/>
                        <a:ln cap="sq" w="19080">
                          <a:solidFill>
                            <a:srgbClr val="000000"/>
                          </a:solidFill>
                          <a:miter/>
                        </a:ln>
                      </wps:spPr>
                      <wps:style>
                        <a:lnRef idx="0"/>
                        <a:fillRef idx="0"/>
                        <a:effectRef idx="0"/>
                        <a:fontRef idx="minor"/>
                      </wps:style>
                      <wps:bodyPr/>
                    </wps:wsp>
                  </a:graphicData>
                </a:graphic>
              </wp:anchor>
            </w:drawing>
          </mc:Choice>
          <mc:Fallback>
            <w:pict>
              <v:rect id="shape_0" ID="Rectangle 3" path="m0,0l-2147483645,0l-2147483645,-2147483646l0,-2147483646xe" stroked="t" o:allowincell="f" style="position:absolute;margin-left:-1.9pt;margin-top:-5.55pt;width:476pt;height:89.95pt;mso-wrap-style:none;v-text-anchor:middle">
                <v:fill o:detectmouseclick="t" on="false"/>
                <v:stroke color="black" weight="19080" joinstyle="miter" endcap="square"/>
                <w10:wrap type="none"/>
              </v:rect>
            </w:pict>
          </mc:Fallback>
        </mc:AlternateContent>
      </w:r>
    </w:p>
    <w:p>
      <w:pPr>
        <w:pStyle w:val="Header"/>
        <w:jc w:val="both"/>
        <w:rPr>
          <w:rFonts w:ascii="Verdana" w:hAnsi="Verdana" w:cs="Verdana"/>
          <w:b/>
        </w:rPr>
      </w:pPr>
      <w:r>
        <w:rPr>
          <w:rFonts w:cs="Verdana" w:ascii="Verdana" w:hAnsi="Verdana"/>
          <w:sz w:val="40"/>
          <w:szCs w:val="40"/>
        </w:rPr>
        <w:t>PERSONALVERSAMMLUNG 2025</w:t>
      </w:r>
    </w:p>
    <w:p>
      <w:pPr>
        <w:pStyle w:val="Header"/>
        <w:jc w:val="both"/>
        <w:rPr>
          <w:rFonts w:ascii="Verdana" w:hAnsi="Verdana" w:cs="Verdana"/>
        </w:rPr>
      </w:pPr>
      <w:r>
        <w:rPr>
          <w:rFonts w:cs="Verdana" w:ascii="Verdana" w:hAnsi="Verdana"/>
          <w:b/>
        </w:rPr>
        <w:t>25. November, 9.00 Uhr</w:t>
      </w:r>
    </w:p>
    <w:p>
      <w:pPr>
        <w:pStyle w:val="Normal"/>
        <w:jc w:val="both"/>
        <w:rPr>
          <w:rFonts w:ascii="Verdana" w:hAnsi="Verdana" w:cs="Verdana"/>
          <w:sz w:val="20"/>
        </w:rPr>
      </w:pPr>
      <w:r>
        <w:rPr>
          <w:rFonts w:cs="Verdana" w:ascii="Verdana" w:hAnsi="Verdana"/>
          <w:sz w:val="20"/>
        </w:rPr>
      </w:r>
    </w:p>
    <w:p>
      <w:pPr>
        <w:pStyle w:val="Normal"/>
        <w:jc w:val="both"/>
        <w:rPr>
          <w:rFonts w:ascii="Verdana" w:hAnsi="Verdana" w:cs="Verdana"/>
          <w:sz w:val="20"/>
        </w:rPr>
      </w:pPr>
      <w:r>
        <w:rPr>
          <w:rFonts w:cs="Verdana" w:ascii="Verdana" w:hAnsi="Verdana"/>
          <w:sz w:val="20"/>
        </w:rPr>
      </w:r>
    </w:p>
    <w:p>
      <w:pPr>
        <w:pStyle w:val="Normal"/>
        <w:jc w:val="both"/>
        <w:rPr>
          <w:rFonts w:ascii="Verdana" w:hAnsi="Verdana" w:cs="Verdana"/>
          <w:sz w:val="20"/>
        </w:rPr>
      </w:pPr>
      <w:r>
        <w:rPr>
          <w:rFonts w:cs="Verdana" w:ascii="Verdana" w:hAnsi="Verdana"/>
          <w:sz w:val="20"/>
        </w:rPr>
      </w:r>
    </w:p>
    <w:p>
      <w:pPr>
        <w:pStyle w:val="Normal"/>
        <w:rPr/>
      </w:pPr>
      <w:r>
        <w:rPr/>
      </w:r>
    </w:p>
    <w:p>
      <w:pPr>
        <w:pStyle w:val="Normal"/>
        <w:rPr/>
      </w:pPr>
      <w:r>
        <w:rPr/>
      </w:r>
    </w:p>
    <w:p>
      <w:pPr>
        <w:pStyle w:val="Normal"/>
        <w:rPr>
          <w:rFonts w:ascii="Verdana" w:hAnsi="Verdana"/>
          <w:b/>
          <w:sz w:val="40"/>
          <w:szCs w:val="40"/>
        </w:rPr>
      </w:pPr>
      <w:r>
        <w:rPr>
          <w:rFonts w:ascii="Verdana" w:hAnsi="Verdana"/>
          <w:b/>
          <w:sz w:val="40"/>
          <w:szCs w:val="40"/>
        </w:rPr>
        <w:t>Personalratsinfos A – Z</w:t>
      </w:r>
    </w:p>
    <w:p>
      <w:pPr>
        <w:pStyle w:val="Normal"/>
        <w:jc w:val="both"/>
        <w:rPr>
          <w:rFonts w:ascii="Verdana" w:hAnsi="Verdana"/>
        </w:rPr>
      </w:pPr>
      <w:r>
        <w:rPr>
          <w:rFonts w:ascii="Verdana" w:hAnsi="Verdana"/>
        </w:rPr>
      </w:r>
    </w:p>
    <w:p>
      <w:pPr>
        <w:pStyle w:val="NormalWeb"/>
        <w:spacing w:beforeAutospacing="0" w:before="0" w:afterAutospacing="0" w:after="0"/>
        <w:jc w:val="both"/>
        <w:rPr>
          <w:rFonts w:ascii="Verdana" w:hAnsi="Verdana"/>
          <w:sz w:val="20"/>
          <w:szCs w:val="20"/>
        </w:rPr>
      </w:pPr>
      <w:r>
        <w:rPr>
          <w:rStyle w:val="Strong"/>
          <w:rFonts w:ascii="Verdana" w:hAnsi="Verdana"/>
          <w:sz w:val="20"/>
          <w:szCs w:val="20"/>
        </w:rPr>
        <w:t>Liebe Kolleginnen und Kollegen,</w:t>
      </w:r>
    </w:p>
    <w:p>
      <w:pPr>
        <w:pStyle w:val="NormalWeb"/>
        <w:spacing w:beforeAutospacing="0" w:before="0" w:afterAutospacing="0" w:after="0"/>
        <w:jc w:val="both"/>
        <w:rPr>
          <w:rFonts w:ascii="Verdana" w:hAnsi="Verdana"/>
          <w:sz w:val="20"/>
          <w:szCs w:val="20"/>
        </w:rPr>
      </w:pPr>
      <w:r>
        <w:rPr>
          <w:rFonts w:ascii="Verdana" w:hAnsi="Verdana"/>
          <w:sz w:val="20"/>
          <w:szCs w:val="20"/>
        </w:rPr>
        <w:t>mit unserem jährlichen A-Z möchten wir Ihnen wichtige Informationen zu Themen näherbringen, die 2025 eine zentrale Rolle in der Arbeit des Personalrates gespielt haben. Einige davon haben uns im vergangenen Jahr intensiv beschäftigt, andere begleiten uns bereits länger und behalten auch weiterhin ihre Relevanz für den Arbeitsalltag. Sollten Sie zu einzelnen Punkten weiterführende Informationen wünschen oder Rückfragen haben, stehen wir Ihnen selbstverständlich zur Verfügung.</w:t>
      </w:r>
    </w:p>
    <w:p>
      <w:pPr>
        <w:pStyle w:val="NormalWeb"/>
        <w:spacing w:beforeAutospacing="0" w:before="0" w:afterAutospacing="0" w:after="0"/>
        <w:jc w:val="both"/>
        <w:rPr>
          <w:rFonts w:ascii="Verdana" w:hAnsi="Verdana"/>
          <w:sz w:val="20"/>
          <w:szCs w:val="20"/>
        </w:rPr>
      </w:pPr>
      <w:r>
        <w:rPr>
          <w:rFonts w:ascii="Verdana" w:hAnsi="Verdana"/>
          <w:sz w:val="20"/>
          <w:szCs w:val="20"/>
        </w:rPr>
      </w:r>
    </w:p>
    <w:p>
      <w:pPr>
        <w:pStyle w:val="NormalWeb"/>
        <w:spacing w:beforeAutospacing="0" w:before="0" w:afterAutospacing="0" w:after="0"/>
        <w:jc w:val="both"/>
        <w:rPr>
          <w:rFonts w:ascii="Verdana" w:hAnsi="Verdana"/>
          <w:sz w:val="20"/>
          <w:szCs w:val="20"/>
          <w:highlight w:val="yellow"/>
        </w:rPr>
      </w:pPr>
      <w:r>
        <w:rPr>
          <w:rFonts w:eastAsia="Arial" w:cs="Arial" w:ascii="Verdana" w:hAnsi="Verdana"/>
          <w:b/>
          <w:color w:val="000000"/>
          <w:sz w:val="44"/>
          <w:szCs w:val="44"/>
        </w:rPr>
        <w:t>A</w:t>
      </w:r>
      <w:r>
        <w:rPr>
          <w:rFonts w:eastAsia="Arial" w:cs="Arial" w:ascii="Verdana" w:hAnsi="Verdana"/>
          <w:b/>
          <w:color w:val="000000"/>
          <w:sz w:val="20"/>
          <w:szCs w:val="20"/>
        </w:rPr>
        <w:t>GG - Gleichbehandlung und Schutz vor Diskriminierung</w:t>
      </w:r>
    </w:p>
    <w:p>
      <w:pPr>
        <w:pStyle w:val="Normal"/>
        <w:pBdr/>
        <w:jc w:val="both"/>
        <w:rPr>
          <w:rFonts w:ascii="Verdana" w:hAnsi="Verdana" w:cs="Arial"/>
          <w:sz w:val="20"/>
          <w:szCs w:val="20"/>
        </w:rPr>
      </w:pPr>
      <w:r>
        <w:rPr>
          <w:rFonts w:eastAsia="Arial" w:cs="Arial" w:ascii="Verdana" w:hAnsi="Verdana"/>
          <w:color w:val="000000"/>
          <w:sz w:val="20"/>
          <w:szCs w:val="20"/>
        </w:rPr>
        <w:t>Nach dem Allgemeinen Gleichbehandlungsgesetz (§ 7 AGG) ist der Arbeitgeber verpflichtet, seine Beschäftigten vor Diskriminierungen zu schützen und die Gleichbehandlung sicherzustellen.</w:t>
      </w:r>
    </w:p>
    <w:p>
      <w:pPr>
        <w:pStyle w:val="Normal"/>
        <w:pBdr/>
        <w:jc w:val="both"/>
        <w:rPr>
          <w:rFonts w:ascii="Verdana" w:hAnsi="Verdana" w:cs="Arial"/>
          <w:sz w:val="20"/>
          <w:szCs w:val="20"/>
        </w:rPr>
      </w:pPr>
      <w:r>
        <w:rPr>
          <w:rFonts w:eastAsia="Arial" w:cs="Arial" w:ascii="Verdana" w:hAnsi="Verdana"/>
          <w:color w:val="000000"/>
          <w:sz w:val="20"/>
          <w:szCs w:val="20"/>
        </w:rPr>
        <w:t>Dazu gehört insbesondere:</w:t>
      </w:r>
    </w:p>
    <w:p>
      <w:pPr>
        <w:pStyle w:val="ListParagraph"/>
        <w:numPr>
          <w:ilvl w:val="0"/>
          <w:numId w:val="2"/>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die Mitarbeitenden über die Unzulässigkeit von Benachteiligungen zu informieren,</w:t>
      </w:r>
    </w:p>
    <w:p>
      <w:pPr>
        <w:pStyle w:val="NormalWeb"/>
        <w:numPr>
          <w:ilvl w:val="0"/>
          <w:numId w:val="2"/>
        </w:numPr>
        <w:spacing w:beforeAutospacing="0" w:before="0" w:afterAutospacing="0" w:after="0"/>
        <w:jc w:val="both"/>
        <w:rPr>
          <w:rFonts w:ascii="Verdana" w:hAnsi="Verdana"/>
          <w:sz w:val="20"/>
          <w:szCs w:val="20"/>
        </w:rPr>
      </w:pPr>
      <w:r>
        <w:rPr>
          <w:rFonts w:eastAsia="Arial" w:cs="Arial" w:ascii="Verdana" w:hAnsi="Verdana"/>
          <w:color w:val="000000"/>
          <w:sz w:val="20"/>
          <w:szCs w:val="20"/>
        </w:rPr>
        <w:t>sowie Maßnahmen zu ergreifen, die Diskriminierungen verhindern oder beenden.</w:t>
      </w:r>
      <w:r>
        <w:rPr>
          <w:rFonts w:ascii="Verdana" w:hAnsi="Verdana"/>
          <w:sz w:val="20"/>
          <w:szCs w:val="20"/>
        </w:rPr>
        <w:br/>
      </w:r>
    </w:p>
    <w:p>
      <w:pPr>
        <w:pStyle w:val="Normal"/>
        <w:rPr>
          <w:rFonts w:ascii="Verdana" w:hAnsi="Verdana"/>
          <w:b/>
          <w:sz w:val="20"/>
          <w:szCs w:val="20"/>
        </w:rPr>
      </w:pPr>
      <w:r>
        <w:rPr>
          <w:rFonts w:ascii="Verdana" w:hAnsi="Verdana"/>
          <w:b/>
          <w:sz w:val="20"/>
          <w:szCs w:val="20"/>
        </w:rPr>
        <w:t>Zuständigkeit der Beschwerdestelle</w:t>
      </w:r>
    </w:p>
    <w:p>
      <w:pPr>
        <w:pStyle w:val="Normal"/>
        <w:pBdr/>
        <w:jc w:val="both"/>
        <w:rPr>
          <w:rFonts w:ascii="Verdana" w:hAnsi="Verdana" w:cs="Arial"/>
          <w:sz w:val="20"/>
          <w:szCs w:val="20"/>
        </w:rPr>
      </w:pPr>
      <w:r>
        <w:rPr>
          <w:rFonts w:eastAsia="Arial" w:cs="Arial" w:ascii="Verdana" w:hAnsi="Verdana"/>
          <w:color w:val="000000"/>
          <w:sz w:val="20"/>
          <w:szCs w:val="20"/>
        </w:rPr>
        <w:t xml:space="preserve">Der Bereich </w:t>
      </w:r>
      <w:r>
        <w:rPr>
          <w:rFonts w:eastAsia="Arial" w:cs="Arial" w:ascii="Verdana" w:hAnsi="Verdana"/>
          <w:b/>
          <w:color w:val="000000"/>
          <w:sz w:val="20"/>
          <w:szCs w:val="20"/>
        </w:rPr>
        <w:t>Antidiskriminierung und Diversität</w:t>
      </w:r>
      <w:r>
        <w:rPr>
          <w:rFonts w:eastAsia="Arial" w:cs="Arial" w:ascii="Verdana" w:hAnsi="Verdana"/>
          <w:color w:val="000000"/>
          <w:sz w:val="20"/>
          <w:szCs w:val="20"/>
        </w:rPr>
        <w:t xml:space="preserve"> ist gemäß § 13 AGG die offizielle Beschwerdestelle für alle Beschäftigten der Humboldt-Universität.</w:t>
      </w:r>
    </w:p>
    <w:p>
      <w:pPr>
        <w:pStyle w:val="Normal"/>
        <w:pBdr/>
        <w:jc w:val="both"/>
        <w:rPr>
          <w:rFonts w:ascii="Verdana" w:hAnsi="Verdana" w:cs="Arial"/>
          <w:sz w:val="20"/>
          <w:szCs w:val="20"/>
        </w:rPr>
      </w:pPr>
      <w:r>
        <w:rPr>
          <w:rFonts w:eastAsia="Arial" w:cs="Arial" w:ascii="Verdana" w:hAnsi="Verdana"/>
          <w:color w:val="000000"/>
          <w:sz w:val="20"/>
          <w:szCs w:val="20"/>
        </w:rPr>
        <w:t>Beschwerden können eingereicht werden, wenn eine Diskriminierung erfolgt ist – zum Beispiel aufgrund von</w:t>
      </w:r>
    </w:p>
    <w:p>
      <w:pPr>
        <w:pStyle w:val="ListParagraph"/>
        <w:numPr>
          <w:ilvl w:val="0"/>
          <w:numId w:val="3"/>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Geschlecht,</w:t>
      </w:r>
    </w:p>
    <w:p>
      <w:pPr>
        <w:pStyle w:val="ListParagraph"/>
        <w:numPr>
          <w:ilvl w:val="0"/>
          <w:numId w:val="3"/>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Abstammung oder Herkunft,</w:t>
      </w:r>
    </w:p>
    <w:p>
      <w:pPr>
        <w:pStyle w:val="ListParagraph"/>
        <w:numPr>
          <w:ilvl w:val="0"/>
          <w:numId w:val="3"/>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Sprache,</w:t>
      </w:r>
    </w:p>
    <w:p>
      <w:pPr>
        <w:pStyle w:val="ListParagraph"/>
        <w:numPr>
          <w:ilvl w:val="0"/>
          <w:numId w:val="3"/>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Glauben oder Weltanschauung,</w:t>
      </w:r>
    </w:p>
    <w:p>
      <w:pPr>
        <w:pStyle w:val="ListParagraph"/>
        <w:numPr>
          <w:ilvl w:val="0"/>
          <w:numId w:val="3"/>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politischer Anschauung,</w:t>
      </w:r>
    </w:p>
    <w:p>
      <w:pPr>
        <w:pStyle w:val="ListParagraph"/>
        <w:numPr>
          <w:ilvl w:val="0"/>
          <w:numId w:val="3"/>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rassistischen Zuschreibungen,</w:t>
      </w:r>
    </w:p>
    <w:p>
      <w:pPr>
        <w:pStyle w:val="ListParagraph"/>
        <w:numPr>
          <w:ilvl w:val="0"/>
          <w:numId w:val="3"/>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einer Behinderung,</w:t>
      </w:r>
    </w:p>
    <w:p>
      <w:pPr>
        <w:pStyle w:val="ListParagraph"/>
        <w:numPr>
          <w:ilvl w:val="0"/>
          <w:numId w:val="3"/>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des Alters oder</w:t>
      </w:r>
    </w:p>
    <w:p>
      <w:pPr>
        <w:pStyle w:val="ListParagraph"/>
        <w:numPr>
          <w:ilvl w:val="0"/>
          <w:numId w:val="3"/>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der sexuellen Identität.</w:t>
      </w:r>
    </w:p>
    <w:p>
      <w:pPr>
        <w:pStyle w:val="Normal"/>
        <w:pBdr/>
        <w:jc w:val="both"/>
        <w:rPr>
          <w:rFonts w:ascii="Verdana" w:hAnsi="Verdana" w:cs="Arial"/>
          <w:sz w:val="20"/>
          <w:szCs w:val="20"/>
        </w:rPr>
      </w:pPr>
      <w:r>
        <w:rPr>
          <w:rFonts w:eastAsia="Arial" w:cs="Arial" w:ascii="Verdana" w:hAnsi="Verdana"/>
          <w:color w:val="000000"/>
          <w:sz w:val="20"/>
          <w:szCs w:val="20"/>
        </w:rPr>
        <w:t>Als Benachteiligung gilt dabei jede Form der ungünstigeren Behandlung einer Person gegenüber anderen.</w:t>
      </w:r>
    </w:p>
    <w:p>
      <w:pPr>
        <w:pStyle w:val="NormalWeb"/>
        <w:spacing w:beforeAutospacing="0" w:before="0" w:afterAutospacing="0" w:after="0"/>
        <w:jc w:val="both"/>
        <w:rPr>
          <w:rFonts w:ascii="Verdana" w:hAnsi="Verdana"/>
          <w:sz w:val="20"/>
          <w:szCs w:val="20"/>
        </w:rPr>
      </w:pPr>
      <w:r>
        <w:rPr>
          <w:rFonts w:ascii="Verdana" w:hAnsi="Verdana"/>
          <w:sz w:val="20"/>
          <w:szCs w:val="20"/>
        </w:rPr>
      </w:r>
    </w:p>
    <w:p>
      <w:pPr>
        <w:pStyle w:val="Normal"/>
        <w:rPr>
          <w:rFonts w:ascii="Verdana" w:hAnsi="Verdana"/>
          <w:b/>
          <w:sz w:val="20"/>
          <w:szCs w:val="20"/>
        </w:rPr>
      </w:pPr>
      <w:r>
        <w:rPr>
          <w:rFonts w:ascii="Verdana" w:hAnsi="Verdana"/>
          <w:b/>
          <w:sz w:val="20"/>
          <w:szCs w:val="20"/>
        </w:rPr>
        <w:t>Ablauf einer AGG-Beschwerde</w:t>
      </w:r>
    </w:p>
    <w:p>
      <w:pPr>
        <w:pStyle w:val="Normal"/>
        <w:pBdr/>
        <w:jc w:val="both"/>
        <w:rPr>
          <w:rFonts w:ascii="Verdana" w:hAnsi="Verdana" w:cs="Arial"/>
          <w:sz w:val="20"/>
          <w:szCs w:val="20"/>
        </w:rPr>
      </w:pPr>
      <w:r>
        <w:rPr>
          <w:rFonts w:eastAsia="Arial" w:cs="Arial" w:ascii="Verdana" w:hAnsi="Verdana"/>
          <w:color w:val="000000"/>
          <w:sz w:val="20"/>
          <w:szCs w:val="20"/>
        </w:rPr>
        <w:t>Geht eine Beschwerde nach dem AGG ein, ist der Arbeitgeber verpflichtet zu handeln.</w:t>
      </w:r>
    </w:p>
    <w:p>
      <w:pPr>
        <w:pStyle w:val="ListParagraph"/>
        <w:numPr>
          <w:ilvl w:val="0"/>
          <w:numId w:val="4"/>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 xml:space="preserve">Die Beschwerde wird zur Prüfung an die Rechts- und Personalabteilung weitergeleitet und soll dort </w:t>
      </w:r>
      <w:r>
        <w:rPr>
          <w:rFonts w:eastAsia="Arial" w:cs="Arial" w:ascii="Verdana" w:hAnsi="Verdana"/>
          <w:b/>
          <w:color w:val="000000"/>
          <w:sz w:val="20"/>
          <w:szCs w:val="20"/>
        </w:rPr>
        <w:t>zügig bearbeitet</w:t>
      </w:r>
      <w:r>
        <w:rPr>
          <w:rFonts w:eastAsia="Arial" w:cs="Arial" w:ascii="Verdana" w:hAnsi="Verdana"/>
          <w:color w:val="000000"/>
          <w:sz w:val="20"/>
          <w:szCs w:val="20"/>
        </w:rPr>
        <w:t xml:space="preserve"> werden.</w:t>
      </w:r>
    </w:p>
    <w:p>
      <w:pPr>
        <w:pStyle w:val="ListParagraph"/>
        <w:numPr>
          <w:ilvl w:val="0"/>
          <w:numId w:val="4"/>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Die Aufgabe der Beschwerdestelle besteht darin, die beschwerdeführende Person regelmäßig über den Stand des Verfahrens zu informieren und die Ergebnisse mitzuteilen.</w:t>
      </w:r>
    </w:p>
    <w:p>
      <w:pPr>
        <w:pStyle w:val="ListParagraph"/>
        <w:numPr>
          <w:ilvl w:val="0"/>
          <w:numId w:val="4"/>
        </w:numPr>
        <w:pBdr/>
        <w:spacing w:lineRule="auto" w:line="240" w:before="0" w:after="0"/>
        <w:contextualSpacing/>
        <w:jc w:val="both"/>
        <w:rPr>
          <w:rFonts w:ascii="Verdana" w:hAnsi="Verdana" w:cs="Arial"/>
          <w:sz w:val="20"/>
          <w:szCs w:val="20"/>
        </w:rPr>
      </w:pPr>
      <w:r>
        <w:rPr>
          <w:rFonts w:eastAsia="Arial" w:cs="Arial" w:ascii="Verdana" w:hAnsi="Verdana"/>
          <w:color w:val="000000"/>
          <w:sz w:val="20"/>
          <w:szCs w:val="20"/>
        </w:rPr>
        <w:t xml:space="preserve">Wird eine Verletzung des Gleichbehandlungsgrundsatzes festgestellt, hat die betroffene Person einen </w:t>
      </w:r>
      <w:r>
        <w:rPr>
          <w:rFonts w:eastAsia="Arial" w:cs="Arial" w:ascii="Verdana" w:hAnsi="Verdana"/>
          <w:b/>
          <w:color w:val="000000"/>
          <w:sz w:val="20"/>
          <w:szCs w:val="20"/>
        </w:rPr>
        <w:t>Anspruch auf das Vorenthaltene</w:t>
      </w:r>
      <w:r>
        <w:rPr>
          <w:rFonts w:eastAsia="Arial" w:cs="Arial" w:ascii="Verdana" w:hAnsi="Verdana"/>
          <w:color w:val="000000"/>
          <w:sz w:val="20"/>
          <w:szCs w:val="20"/>
        </w:rPr>
        <w:t>.</w:t>
      </w:r>
    </w:p>
    <w:p>
      <w:pPr>
        <w:pStyle w:val="NormalWeb"/>
        <w:spacing w:beforeAutospacing="0" w:before="0" w:afterAutospacing="0" w:after="0"/>
        <w:jc w:val="both"/>
        <w:rPr>
          <w:rFonts w:ascii="Verdana" w:hAnsi="Verdana" w:cs="Arial"/>
          <w:sz w:val="20"/>
          <w:szCs w:val="20"/>
        </w:rPr>
      </w:pPr>
      <w:r>
        <w:rPr>
          <w:rFonts w:cs="Arial" w:ascii="Verdana" w:hAnsi="Verdana"/>
          <w:sz w:val="20"/>
          <w:szCs w:val="20"/>
        </w:rPr>
      </w:r>
    </w:p>
    <w:p>
      <w:pPr>
        <w:pStyle w:val="Normal"/>
        <w:widowControl/>
        <w:rPr>
          <w:rFonts w:ascii="Verdana" w:hAnsi="Verdana" w:eastAsia="Arial" w:cs="Arial"/>
          <w:sz w:val="20"/>
          <w:szCs w:val="20"/>
          <w:lang w:eastAsia="de-DE" w:bidi="ar-SA"/>
        </w:rPr>
      </w:pPr>
      <w:r>
        <w:rPr>
          <w:rFonts w:eastAsia="Arial" w:cs="Arial" w:ascii="Verdana" w:hAnsi="Verdana"/>
          <w:sz w:val="20"/>
          <w:szCs w:val="20"/>
          <w:lang w:eastAsia="de-DE" w:bidi="ar-SA"/>
        </w:rPr>
      </w:r>
      <w:r>
        <w:br w:type="page"/>
      </w:r>
    </w:p>
    <w:p>
      <w:pPr>
        <w:pStyle w:val="NormalWeb"/>
        <w:spacing w:beforeAutospacing="0" w:before="0" w:afterAutospacing="0" w:after="0"/>
        <w:jc w:val="both"/>
        <w:rPr>
          <w:rFonts w:ascii="Verdana" w:hAnsi="Verdana" w:cs="Arial"/>
          <w:sz w:val="20"/>
          <w:szCs w:val="20"/>
        </w:rPr>
      </w:pPr>
      <w:r>
        <w:rPr>
          <w:rFonts w:eastAsia="Arial" w:cs="Arial" w:ascii="Verdana" w:hAnsi="Verdana"/>
          <w:sz w:val="20"/>
          <w:szCs w:val="20"/>
        </w:rPr>
        <w:t>Der Bereich Antidiskriminierung und Diversität ist am Zentrum für Chancengerechtigkeit angesiedelt.</w:t>
      </w:r>
    </w:p>
    <w:p>
      <w:pPr>
        <w:pStyle w:val="NormalWeb"/>
        <w:spacing w:beforeAutospacing="0" w:before="0" w:afterAutospacing="0" w:after="0"/>
        <w:jc w:val="both"/>
        <w:rPr>
          <w:rFonts w:ascii="Verdana" w:hAnsi="Verdana" w:cs="Arial"/>
          <w:sz w:val="20"/>
          <w:szCs w:val="20"/>
        </w:rPr>
      </w:pPr>
      <w:hyperlink r:id="rId3" w:tooltip="https://chancengerechtigkeit.hu-berlin.de/de/zentrum-chancengerechtigkeit/buero-fuer-antidiskriminierung-und-diversitaet">
        <w:r>
          <w:rPr>
            <w:rStyle w:val="Hyperlink"/>
            <w:rFonts w:eastAsia="Arial" w:cs="Arial" w:ascii="Verdana" w:hAnsi="Verdana"/>
            <w:color w:val="auto"/>
            <w:sz w:val="20"/>
            <w:szCs w:val="20"/>
            <w:u w:val="none"/>
          </w:rPr>
          <w:t>https://chancengerechtigkeit.hu-berlin.de/de/zentrum-chancengerechtigkeit/buero-fuer-antidiskriminierung-und-diversitaet</w:t>
        </w:r>
      </w:hyperlink>
    </w:p>
    <w:p>
      <w:pPr>
        <w:pStyle w:val="NormalWeb"/>
        <w:spacing w:beforeAutospacing="0" w:before="0" w:afterAutospacing="0" w:after="0"/>
        <w:jc w:val="both"/>
        <w:rPr>
          <w:rFonts w:ascii="Verdana" w:hAnsi="Verdana" w:cs="Arial"/>
          <w:iCs/>
          <w:sz w:val="20"/>
          <w:szCs w:val="20"/>
        </w:rPr>
      </w:pPr>
      <w:hyperlink r:id="rId4" w:tooltip="mailto:antidiskriminierung@hu-berlin.de">
        <w:r>
          <w:rPr>
            <w:rStyle w:val="Style"/>
            <w:rFonts w:eastAsia="Arial" w:cs="Arial" w:ascii="Verdana" w:hAnsi="Verdana"/>
            <w:iCs/>
            <w:sz w:val="20"/>
            <w:szCs w:val="20"/>
          </w:rPr>
          <w:t>antidiskriminierung@hu-berlin.de</w:t>
        </w:r>
      </w:hyperlink>
      <w:r>
        <w:rPr>
          <w:rFonts w:eastAsia="Arial" w:cs="Arial" w:ascii="Verdana" w:hAnsi="Verdana"/>
          <w:iCs/>
          <w:sz w:val="20"/>
          <w:szCs w:val="20"/>
        </w:rPr>
        <w:t xml:space="preserve">, Tel. </w:t>
      </w:r>
      <w:hyperlink r:id="rId5" w:tooltip="tel:030209312839">
        <w:r>
          <w:rPr>
            <w:rStyle w:val="Style"/>
            <w:rFonts w:eastAsia="Arial" w:cs="Arial" w:ascii="Verdana" w:hAnsi="Verdana"/>
            <w:iCs/>
            <w:sz w:val="20"/>
            <w:szCs w:val="20"/>
          </w:rPr>
          <w:t>030 2093 12839</w:t>
        </w:r>
      </w:hyperlink>
    </w:p>
    <w:p>
      <w:pPr>
        <w:pStyle w:val="NormalWeb"/>
        <w:spacing w:beforeAutospacing="0" w:before="0" w:afterAutospacing="0" w:after="0"/>
        <w:jc w:val="both"/>
        <w:rPr>
          <w:rFonts w:ascii="Verdana" w:hAnsi="Verdana" w:cs="Arial"/>
          <w:iCs/>
          <w:sz w:val="20"/>
          <w:szCs w:val="20"/>
        </w:rPr>
      </w:pPr>
      <w:hyperlink r:id="rId6" w:tooltip="mailto:diversitaet@hu-berlin.de">
        <w:r>
          <w:rPr>
            <w:rStyle w:val="Style"/>
            <w:rFonts w:eastAsia="Arial" w:cs="Arial" w:ascii="Verdana" w:hAnsi="Verdana"/>
            <w:iCs/>
            <w:sz w:val="20"/>
            <w:szCs w:val="20"/>
          </w:rPr>
          <w:t>diversitaet@hu-berlin.de</w:t>
        </w:r>
      </w:hyperlink>
      <w:r>
        <w:rPr>
          <w:rFonts w:eastAsia="Arial" w:cs="Arial" w:ascii="Verdana" w:hAnsi="Verdana"/>
          <w:iCs/>
          <w:sz w:val="20"/>
          <w:szCs w:val="20"/>
        </w:rPr>
        <w:t xml:space="preserve">, Tel. </w:t>
      </w:r>
      <w:hyperlink r:id="rId7" w:tooltip="tel:030209312839">
        <w:r>
          <w:rPr>
            <w:rStyle w:val="Style"/>
            <w:rFonts w:eastAsia="Arial" w:cs="Arial" w:ascii="Verdana" w:hAnsi="Verdana"/>
            <w:iCs/>
            <w:sz w:val="20"/>
            <w:szCs w:val="20"/>
          </w:rPr>
          <w:t>030 2093 12839</w:t>
        </w:r>
      </w:hyperlink>
    </w:p>
    <w:p>
      <w:pPr>
        <w:pStyle w:val="NormalWeb"/>
        <w:spacing w:beforeAutospacing="0" w:before="0" w:afterAutospacing="0" w:after="0"/>
        <w:jc w:val="both"/>
        <w:rPr>
          <w:rFonts w:ascii="Verdana" w:hAnsi="Verdana" w:eastAsia="Arial" w:cs="Arial"/>
          <w:sz w:val="20"/>
          <w:szCs w:val="20"/>
        </w:rPr>
      </w:pPr>
      <w:hyperlink r:id="rId8" w:tooltip="mailto:beschwerde-agg@hu-berlin.de">
        <w:r>
          <w:rPr>
            <w:rStyle w:val="Style"/>
            <w:rFonts w:eastAsia="Arial" w:cs="Arial" w:ascii="Verdana" w:hAnsi="Verdana"/>
            <w:b w:val="false"/>
            <w:bCs/>
            <w:sz w:val="20"/>
            <w:szCs w:val="20"/>
          </w:rPr>
          <w:t>beschwerde-agg@hu-berlin.de</w:t>
        </w:r>
      </w:hyperlink>
      <w:r>
        <w:rPr>
          <w:rFonts w:eastAsia="Arial" w:cs="Arial" w:ascii="Verdana" w:hAnsi="Verdana"/>
          <w:b/>
          <w:sz w:val="20"/>
          <w:szCs w:val="20"/>
        </w:rPr>
        <w:t xml:space="preserve">, </w:t>
      </w:r>
      <w:r>
        <w:rPr>
          <w:rFonts w:eastAsia="Arial" w:cs="Arial" w:ascii="Verdana" w:hAnsi="Verdana"/>
          <w:sz w:val="20"/>
          <w:szCs w:val="20"/>
        </w:rPr>
        <w:t>Tel 030 2093 12482</w:t>
      </w:r>
    </w:p>
    <w:p>
      <w:pPr>
        <w:pStyle w:val="NormalWeb"/>
        <w:spacing w:beforeAutospacing="0" w:before="0" w:afterAutospacing="0" w:after="0"/>
        <w:jc w:val="both"/>
        <w:rPr>
          <w:rFonts w:ascii="Verdana" w:hAnsi="Verdana" w:eastAsia="Arial" w:cs="Arial"/>
          <w:sz w:val="20"/>
          <w:szCs w:val="20"/>
        </w:rPr>
      </w:pPr>
      <w:r>
        <w:rPr>
          <w:rFonts w:eastAsia="Arial" w:cs="Arial" w:ascii="Verdana" w:hAnsi="Verdana"/>
          <w:sz w:val="20"/>
          <w:szCs w:val="20"/>
        </w:rPr>
      </w:r>
    </w:p>
    <w:p>
      <w:pPr>
        <w:pStyle w:val="docdata"/>
        <w:spacing w:beforeAutospacing="0" w:before="0" w:afterAutospacing="0" w:after="0"/>
        <w:jc w:val="both"/>
        <w:rPr>
          <w:rFonts w:ascii="Verdana" w:hAnsi="Verdana"/>
          <w:sz w:val="20"/>
          <w:szCs w:val="20"/>
        </w:rPr>
      </w:pPr>
      <w:r>
        <w:rPr>
          <w:rFonts w:ascii="Verdana" w:hAnsi="Verdana"/>
          <w:b/>
          <w:bCs/>
          <w:sz w:val="44"/>
          <w:szCs w:val="44"/>
        </w:rPr>
        <w:t>A</w:t>
      </w:r>
      <w:r>
        <w:rPr>
          <w:rFonts w:ascii="Verdana" w:hAnsi="Verdana"/>
          <w:b/>
          <w:bCs/>
          <w:sz w:val="20"/>
          <w:szCs w:val="20"/>
        </w:rPr>
        <w:t>rbeitssicherheit und Gesundheitsschutz</w:t>
      </w:r>
    </w:p>
    <w:p>
      <w:pPr>
        <w:pStyle w:val="StandardWeb1"/>
        <w:spacing w:beforeAutospacing="0" w:before="0" w:afterAutospacing="0" w:after="0"/>
        <w:jc w:val="both"/>
        <w:rPr>
          <w:rFonts w:ascii="Verdana" w:hAnsi="Verdana"/>
          <w:sz w:val="20"/>
          <w:szCs w:val="20"/>
        </w:rPr>
      </w:pPr>
      <w:r>
        <w:rPr>
          <w:rFonts w:ascii="Verdana" w:hAnsi="Verdana"/>
          <w:sz w:val="20"/>
          <w:szCs w:val="20"/>
        </w:rPr>
        <w:t>Auch in 2025 gibt es Änderungen, das Referat Arbeits-, Brand- und Umweltschutz ist nicht mehr der TA unterstellt, sondern direkt den</w:t>
      </w:r>
      <w:r>
        <w:rPr>
          <w:rFonts w:ascii="Verdana" w:hAnsi="Verdana"/>
          <w:sz w:val="20"/>
          <w:szCs w:val="20"/>
          <w:highlight w:val="white"/>
        </w:rPr>
        <w:t xml:space="preserve"> Präsidialbereich</w:t>
      </w:r>
      <w:r>
        <w:rPr>
          <w:rFonts w:ascii="Verdana" w:hAnsi="Verdana"/>
          <w:sz w:val="20"/>
          <w:szCs w:val="20"/>
        </w:rPr>
        <w:t>.</w:t>
      </w:r>
      <w:r>
        <w:rPr>
          <w:rFonts w:ascii="Verdana" w:hAnsi="Verdana"/>
          <w:sz w:val="20"/>
          <w:szCs w:val="20"/>
          <w:highlight w:val="white"/>
        </w:rPr>
        <w:t xml:space="preserve"> Die Dienstvereinbarung zur Umsetzung der Vorschrift Nr. 2 der Deutschen Gesetzlichen Unfallversicherung (Amtliches Mitteilungsblatt der HU Nr. 37/2016) regelt die Einsatzzeiten von Fachkräften für Arbeitssicherheit (FaSi) und Betriebsärzt:innen. Diese sind im Referat Arbeits- und Umweltschutz der Technischen Abteilung organisiert mit verschiedenen Aufgaben. </w:t>
      </w:r>
    </w:p>
    <w:p>
      <w:pPr>
        <w:pStyle w:val="StandardWeb1"/>
        <w:spacing w:beforeAutospacing="0" w:before="0" w:afterAutospacing="0" w:after="0"/>
        <w:jc w:val="both"/>
        <w:rPr>
          <w:rFonts w:ascii="Verdana" w:hAnsi="Verdana"/>
          <w:sz w:val="20"/>
          <w:szCs w:val="20"/>
          <w:highlight w:val="white"/>
        </w:rPr>
      </w:pPr>
      <w:r>
        <w:rPr>
          <w:rFonts w:ascii="Verdana" w:hAnsi="Verdana"/>
          <w:sz w:val="20"/>
          <w:szCs w:val="20"/>
          <w:highlight w:val="white"/>
        </w:rPr>
        <w:t xml:space="preserve">Eine dieser Aufgaben sind </w:t>
      </w:r>
      <w:r>
        <w:rPr>
          <w:rFonts w:ascii="Verdana" w:hAnsi="Verdana"/>
          <w:b/>
          <w:sz w:val="20"/>
          <w:szCs w:val="20"/>
          <w:highlight w:val="white"/>
        </w:rPr>
        <w:t>Arbeitsplatzbegehungen</w:t>
      </w:r>
      <w:r>
        <w:rPr>
          <w:rFonts w:ascii="Verdana" w:hAnsi="Verdana"/>
          <w:sz w:val="20"/>
          <w:szCs w:val="20"/>
          <w:highlight w:val="white"/>
        </w:rPr>
        <w:t>. Sie gelten als ein wichtiger Baustein in der Arbeitssicherheit, um Unfallgefahren und Belastungen von Beschäftigten und sich daraus ergebende gesundheitliche Gefährdungen zu erkennen. Hier mangelt es an der HU leider häufig an der Umsetzung der aufgezeigten Maßnahmen. Der Personalrat wird diese Pflicht des Arbeitgebers weiterhin kontrollieren und auf etwaige Verzögerungen in der Umsetzung hinweisen. Bitte zögern Sie nicht, den Personalrat auf Probleme aufmerksam zu machen!</w:t>
      </w:r>
    </w:p>
    <w:p>
      <w:pPr>
        <w:pStyle w:val="StandardWeb1"/>
        <w:spacing w:beforeAutospacing="0" w:before="0" w:afterAutospacing="0" w:after="0"/>
        <w:jc w:val="both"/>
        <w:rPr>
          <w:rFonts w:ascii="Verdana" w:hAnsi="Verdana"/>
          <w:sz w:val="20"/>
          <w:szCs w:val="20"/>
          <w:highlight w:val="white"/>
        </w:rPr>
      </w:pPr>
      <w:r>
        <w:rPr>
          <w:rFonts w:ascii="Verdana" w:hAnsi="Verdana"/>
          <w:sz w:val="20"/>
          <w:szCs w:val="20"/>
          <w:highlight w:val="white"/>
        </w:rPr>
        <w:t>Die HU hat mit der "Verwaltungsanweisung über Verfahren und Zuständigkeiten zur Umsetzung von Rechtsvorschriften des Arbeits-, Gesundheits- und des Umweltschutzes“ an der HU (</w:t>
      </w:r>
      <w:r>
        <w:rPr>
          <w:rFonts w:ascii="Verdana" w:hAnsi="Verdana"/>
          <w:i/>
          <w:sz w:val="20"/>
          <w:szCs w:val="20"/>
          <w:highlight w:val="white"/>
        </w:rPr>
        <w:t>Amtliches Mitteilungsblatt Nr. 32/2010</w:t>
      </w:r>
      <w:r>
        <w:rPr>
          <w:rFonts w:ascii="Verdana" w:hAnsi="Verdana"/>
          <w:sz w:val="20"/>
          <w:szCs w:val="20"/>
          <w:highlight w:val="white"/>
        </w:rPr>
        <w:t xml:space="preserve">) detailliert geregelt, wer im </w:t>
      </w:r>
      <w:r>
        <w:rPr>
          <w:rFonts w:ascii="Verdana" w:hAnsi="Verdana"/>
          <w:b/>
          <w:sz w:val="20"/>
          <w:szCs w:val="20"/>
          <w:highlight w:val="white"/>
        </w:rPr>
        <w:t xml:space="preserve">Arbeitsschutz </w:t>
      </w:r>
      <w:r>
        <w:rPr>
          <w:rFonts w:ascii="Verdana" w:hAnsi="Verdana"/>
          <w:sz w:val="20"/>
          <w:szCs w:val="20"/>
          <w:highlight w:val="white"/>
        </w:rPr>
        <w:t>was zu tun hat.</w:t>
      </w:r>
    </w:p>
    <w:p>
      <w:pPr>
        <w:pStyle w:val="StandardWeb1"/>
        <w:spacing w:beforeAutospacing="0" w:before="0" w:afterAutospacing="0" w:after="0"/>
        <w:jc w:val="both"/>
        <w:rPr>
          <w:rFonts w:ascii="Verdana" w:hAnsi="Verdana"/>
          <w:sz w:val="20"/>
          <w:szCs w:val="20"/>
          <w:highlight w:val="white"/>
        </w:rPr>
      </w:pPr>
      <w:r>
        <w:rPr>
          <w:rFonts w:ascii="Verdana" w:hAnsi="Verdana"/>
          <w:sz w:val="20"/>
          <w:szCs w:val="20"/>
          <w:highlight w:val="white"/>
        </w:rPr>
        <w:t xml:space="preserve">Wie so oft sieht die Realität trotz bester Planung und Organisation anders aus. Wenn also doch jemand z.B. in Staub, Lärm, Hitze, Kälte etc. arbeiten sollte, dann ist der: die Vorgesetzte sofort zu informieren und ggf. die </w:t>
      </w:r>
      <w:r>
        <w:rPr>
          <w:rFonts w:ascii="Verdana" w:hAnsi="Verdana"/>
          <w:b/>
          <w:sz w:val="20"/>
          <w:szCs w:val="20"/>
          <w:highlight w:val="white"/>
        </w:rPr>
        <w:t>Betriebsärztin/den Betriebsarzt sowie eine Fachkraft für Arbeitssicherheit</w:t>
      </w:r>
      <w:r>
        <w:rPr>
          <w:rFonts w:ascii="Verdana" w:hAnsi="Verdana"/>
          <w:sz w:val="20"/>
          <w:szCs w:val="20"/>
          <w:highlight w:val="white"/>
        </w:rPr>
        <w:t xml:space="preserve"> vor Ort konkret hinzuzuziehen.</w:t>
      </w:r>
    </w:p>
    <w:p>
      <w:pPr>
        <w:pStyle w:val="StandardWeb1"/>
        <w:spacing w:beforeAutospacing="0" w:before="0" w:afterAutospacing="0" w:after="0"/>
        <w:jc w:val="both"/>
        <w:rPr>
          <w:rFonts w:ascii="Verdana" w:hAnsi="Verdana"/>
          <w:sz w:val="20"/>
          <w:szCs w:val="20"/>
          <w:highlight w:val="white"/>
        </w:rPr>
      </w:pPr>
      <w:r>
        <w:rPr>
          <w:rFonts w:ascii="Verdana" w:hAnsi="Verdana"/>
          <w:sz w:val="20"/>
          <w:szCs w:val="20"/>
          <w:highlight w:val="white"/>
        </w:rPr>
        <w:t xml:space="preserve">Jede/r </w:t>
      </w:r>
      <w:r>
        <w:rPr>
          <w:rFonts w:ascii="Verdana" w:hAnsi="Verdana"/>
          <w:b/>
          <w:sz w:val="20"/>
          <w:szCs w:val="20"/>
          <w:highlight w:val="white"/>
        </w:rPr>
        <w:t>Beschäftigte hat die Pflicht</w:t>
      </w:r>
      <w:r>
        <w:rPr>
          <w:rFonts w:ascii="Verdana" w:hAnsi="Verdana"/>
          <w:sz w:val="20"/>
          <w:szCs w:val="20"/>
          <w:highlight w:val="white"/>
        </w:rPr>
        <w:t xml:space="preserve">, festgestellte Verstöße, Gefährdungen etc. der/dem Vorgesetzten zu melden und das Referat für Arbeits- und Umweltschutz zu informieren. Weiterhin hat er/sie sich selbst zu schützen und somit auch die Pflicht, gesundheitsgefährdende Situationen nicht nur anzuzeigen, sondern sich selbst aus der Gefahrenzone zu begeben. Es kann im Arbeitsleben zu Situationen kommen, in denen zusätzliche Faktoren die Gesundheit und Arbeitssicherheit beeinflussen, wie zunehmende Arbeitsverdichtung (s. Stichwort </w:t>
      </w:r>
      <w:r>
        <w:rPr>
          <w:rFonts w:ascii="Verdana" w:hAnsi="Verdana"/>
          <w:b/>
          <w:sz w:val="20"/>
          <w:szCs w:val="20"/>
          <w:highlight w:val="white"/>
        </w:rPr>
        <w:t>Überlast</w:t>
      </w:r>
      <w:r>
        <w:rPr>
          <w:rFonts w:ascii="Verdana" w:hAnsi="Verdana"/>
          <w:sz w:val="20"/>
          <w:szCs w:val="20"/>
          <w:highlight w:val="white"/>
        </w:rPr>
        <w:t xml:space="preserve">) oder psychische Belastungen am Arbeitsplatz. </w:t>
      </w:r>
    </w:p>
    <w:p>
      <w:pPr>
        <w:pStyle w:val="StandardWeb1"/>
        <w:spacing w:beforeAutospacing="0" w:before="0" w:afterAutospacing="0" w:after="0"/>
        <w:jc w:val="both"/>
        <w:rPr>
          <w:rFonts w:ascii="Verdana" w:hAnsi="Verdana"/>
          <w:sz w:val="20"/>
          <w:szCs w:val="20"/>
          <w:highlight w:val="white"/>
        </w:rPr>
      </w:pPr>
      <w:r>
        <w:rPr>
          <w:rFonts w:ascii="Verdana" w:hAnsi="Verdana"/>
          <w:sz w:val="20"/>
          <w:szCs w:val="20"/>
          <w:highlight w:val="white"/>
        </w:rPr>
        <w:t xml:space="preserve">Hier sind </w:t>
      </w:r>
      <w:r>
        <w:rPr>
          <w:rFonts w:ascii="Verdana" w:hAnsi="Verdana"/>
          <w:b/>
          <w:sz w:val="20"/>
          <w:szCs w:val="20"/>
          <w:highlight w:val="white"/>
        </w:rPr>
        <w:t>Beschäftigte und Vorgesetzte</w:t>
      </w:r>
      <w:r>
        <w:rPr>
          <w:rFonts w:ascii="Verdana" w:hAnsi="Verdana"/>
          <w:sz w:val="20"/>
          <w:szCs w:val="20"/>
          <w:highlight w:val="white"/>
        </w:rPr>
        <w:t xml:space="preserve"> gleichermaßen gefordert, die von der HU bereitgestellten Instrumente zur Vermeidung und Beseitigung von Gefährdungen anzuwenden (u.a. Gefährdungsbeurteilungen, Überlastungsanzeigen, Konfliktberatung)</w:t>
      </w:r>
    </w:p>
    <w:p>
      <w:pPr>
        <w:pStyle w:val="StandardWeb1"/>
        <w:spacing w:beforeAutospacing="0" w:before="0" w:afterAutospacing="0" w:after="0"/>
        <w:jc w:val="both"/>
        <w:rPr>
          <w:rFonts w:ascii="Verdana" w:hAnsi="Verdana"/>
          <w:sz w:val="20"/>
          <w:szCs w:val="20"/>
          <w:highlight w:val="white"/>
        </w:rPr>
      </w:pPr>
      <w:r>
        <w:rPr>
          <w:rFonts w:ascii="Verdana" w:hAnsi="Verdana"/>
          <w:b/>
          <w:sz w:val="20"/>
          <w:szCs w:val="20"/>
          <w:highlight w:val="white"/>
        </w:rPr>
        <w:t xml:space="preserve">Gefährdungsbeurteilungen </w:t>
      </w:r>
      <w:r>
        <w:rPr>
          <w:rFonts w:ascii="Verdana" w:hAnsi="Verdana"/>
          <w:sz w:val="20"/>
          <w:szCs w:val="20"/>
          <w:highlight w:val="white"/>
        </w:rPr>
        <w:t xml:space="preserve">unter Berücksichtigung der psychischen Belastungen sind für alle Bereiche der Universität durch die jeweiligen Vorgesetzten zu erstellen. Im Rahmen der Durchführung einer psychischen Gefährdungsbeurteilung kann nur eine breite Teilnahme der Beschäftigten einen vertieften detaillierten Einblick in die jeweilige Arbeitssituation vor Ort geben. Sie stellt die Grundlage für die Ableitung von Maßnahmen dar. Zögern Sie nicht, darauf aufmerksam zu machen und den Personalrat als Interessenvertretung einzubeziehen. Weitere Themen rund um den Komplex Arbeitssicherheit und Gesundheitsschutz sowie die Ansprechpersonen finden Sie auf den Seiten der Technischen Abteilung unter: </w:t>
      </w:r>
      <w:hyperlink r:id="rId9" w:tooltip="http://www.ta.hu-berlin.de/au">
        <w:r>
          <w:rPr>
            <w:rStyle w:val="Hyperlink"/>
            <w:rFonts w:ascii="Verdana" w:hAnsi="Verdana"/>
            <w:color w:val="auto"/>
            <w:sz w:val="20"/>
            <w:szCs w:val="20"/>
            <w:highlight w:val="white"/>
            <w:u w:val="none"/>
          </w:rPr>
          <w:t>www.ta.hu-berlin.de/au</w:t>
        </w:r>
      </w:hyperlink>
    </w:p>
    <w:p>
      <w:pPr>
        <w:pStyle w:val="StandardWeb1"/>
        <w:spacing w:beforeAutospacing="0" w:before="0" w:afterAutospacing="0" w:after="0"/>
        <w:jc w:val="both"/>
        <w:rPr>
          <w:rFonts w:ascii="Verdana" w:hAnsi="Verdana"/>
          <w:sz w:val="20"/>
          <w:szCs w:val="20"/>
          <w:highlight w:val="white"/>
        </w:rPr>
      </w:pPr>
      <w:r>
        <w:rPr>
          <w:rFonts w:ascii="Verdana" w:hAnsi="Verdana"/>
          <w:sz w:val="20"/>
          <w:szCs w:val="20"/>
          <w:highlight w:val="white"/>
        </w:rPr>
        <w:t xml:space="preserve">Die Humboldt-Universität zu Berlin bietet allen Beschäftigten die Möglichkeit einer </w:t>
      </w:r>
      <w:r>
        <w:rPr>
          <w:rFonts w:ascii="Verdana" w:hAnsi="Verdana"/>
          <w:b/>
          <w:sz w:val="20"/>
          <w:szCs w:val="20"/>
          <w:highlight w:val="white"/>
        </w:rPr>
        <w:t>Psychosozialen Beratung</w:t>
      </w:r>
      <w:r>
        <w:rPr>
          <w:rFonts w:ascii="Verdana" w:hAnsi="Verdana"/>
          <w:sz w:val="20"/>
          <w:szCs w:val="20"/>
          <w:highlight w:val="white"/>
        </w:rPr>
        <w:t xml:space="preserve"> als präventives Unterstützungsangebot. Inhalte sind u.a.: Stressbewältigung, Burnout-Prävention, Entlastung nach schwierigen Ereignissen oder bei psychischer (Über-)Belastung, Informationen zu Psychotherapie und Therapieplatzsuche. Weitere Themen rund um den Komplex </w:t>
      </w:r>
      <w:r>
        <w:rPr>
          <w:rStyle w:val="breadcrumbcurrent"/>
          <w:rFonts w:ascii="Verdana" w:hAnsi="Verdana"/>
          <w:sz w:val="20"/>
          <w:szCs w:val="20"/>
          <w:highlight w:val="white"/>
        </w:rPr>
        <w:t>Psychosoziale Beratung für Beschäftigte</w:t>
      </w:r>
      <w:r>
        <w:rPr>
          <w:rFonts w:ascii="Verdana" w:hAnsi="Verdana"/>
          <w:sz w:val="20"/>
          <w:szCs w:val="20"/>
          <w:highlight w:val="white"/>
        </w:rPr>
        <w:t xml:space="preserve"> sowie die Ansprechpersonen finden Sie auf den Seiten des Hochschulischen Gesundheitsmanagements unter: </w:t>
      </w:r>
      <w:r>
        <w:rPr>
          <w:rFonts w:ascii="Verdana" w:hAnsi="Verdana"/>
          <w:i/>
          <w:sz w:val="20"/>
          <w:szCs w:val="20"/>
          <w:highlight w:val="white"/>
        </w:rPr>
        <w:t xml:space="preserve"> </w:t>
      </w:r>
      <w:hyperlink r:id="rId10" w:tooltip="https://www.hgm.hu-berlin.de/de/gesund-arbeiten/beratung-informationen/psychosoziale-beratung-fuer-beschaeftigte">
        <w:r>
          <w:rPr>
            <w:rStyle w:val="Hyperlink"/>
            <w:rFonts w:cs="Verdana" w:ascii="Verdana" w:hAnsi="Verdana"/>
            <w:color w:val="auto"/>
            <w:sz w:val="20"/>
            <w:szCs w:val="20"/>
            <w:highlight w:val="white"/>
            <w:u w:val="none"/>
          </w:rPr>
          <w:t>https://hu.berlin/43351</w:t>
        </w:r>
      </w:hyperlink>
      <w:r>
        <w:rPr>
          <w:rFonts w:ascii="Verdana" w:hAnsi="Verdana"/>
          <w:sz w:val="20"/>
          <w:szCs w:val="20"/>
        </w:rPr>
        <w:t xml:space="preserve"> </w:t>
      </w:r>
    </w:p>
    <w:p>
      <w:pPr>
        <w:pStyle w:val="Normal"/>
        <w:jc w:val="both"/>
        <w:rPr>
          <w:rFonts w:ascii="Verdana" w:hAnsi="Verdana" w:eastAsia="Times New Roman" w:cs="Times New Roman"/>
          <w:sz w:val="20"/>
          <w:szCs w:val="20"/>
          <w:highlight w:val="white"/>
        </w:rPr>
      </w:pPr>
      <w:r>
        <w:rPr>
          <w:rFonts w:eastAsia="Times New Roman" w:cs="Times New Roman" w:ascii="Verdana" w:hAnsi="Verdana"/>
          <w:sz w:val="20"/>
          <w:szCs w:val="20"/>
          <w:highlight w:val="white"/>
        </w:rPr>
      </w:r>
    </w:p>
    <w:p>
      <w:pPr>
        <w:pStyle w:val="StandardWeb1"/>
        <w:spacing w:beforeAutospacing="0" w:before="0" w:afterAutospacing="0" w:after="0"/>
        <w:jc w:val="both"/>
        <w:rPr>
          <w:rFonts w:ascii="Verdana" w:hAnsi="Verdana"/>
          <w:sz w:val="20"/>
          <w:szCs w:val="20"/>
          <w:highlight w:val="white"/>
        </w:rPr>
      </w:pPr>
      <w:r>
        <w:rPr>
          <w:rFonts w:ascii="Verdana" w:hAnsi="Verdana"/>
          <w:sz w:val="20"/>
          <w:szCs w:val="20"/>
          <w:highlight w:val="white"/>
        </w:rPr>
        <w:t xml:space="preserve">Ein weiterer Baustein im Arbeits- und Gesundheitsschutz knüpft u.a. an die Rückkehr von </w:t>
      </w:r>
      <w:r>
        <w:rPr>
          <w:rFonts w:ascii="Verdana" w:hAnsi="Verdana"/>
          <w:b/>
          <w:bCs/>
          <w:sz w:val="20"/>
          <w:szCs w:val="20"/>
          <w:highlight w:val="white"/>
        </w:rPr>
        <w:t>Beschäftigen nach langer Krankheit</w:t>
      </w:r>
      <w:r>
        <w:rPr>
          <w:rFonts w:ascii="Verdana" w:hAnsi="Verdana"/>
          <w:sz w:val="20"/>
          <w:szCs w:val="20"/>
          <w:highlight w:val="white"/>
        </w:rPr>
        <w:t xml:space="preserve"> an. Hier hat der Gesetzgeber im § 167 Abs.2 SGB IX ein umfangreiches Verfahren für alle Beschäftigten – unabhängig von etwaiger bestehender oder drohender Schwerbehinderung – vorgeschrieben, das </w:t>
      </w:r>
      <w:r>
        <w:rPr>
          <w:rFonts w:ascii="Verdana" w:hAnsi="Verdana"/>
          <w:b/>
          <w:bCs/>
          <w:sz w:val="20"/>
          <w:szCs w:val="20"/>
          <w:highlight w:val="white"/>
        </w:rPr>
        <w:t>betriebliche Eingliederungs-management</w:t>
      </w:r>
      <w:r>
        <w:rPr>
          <w:rFonts w:ascii="Verdana" w:hAnsi="Verdana"/>
          <w:sz w:val="20"/>
          <w:szCs w:val="20"/>
          <w:highlight w:val="white"/>
        </w:rPr>
        <w:t xml:space="preserve">, kurz </w:t>
      </w:r>
      <w:r>
        <w:rPr>
          <w:rFonts w:ascii="Verdana" w:hAnsi="Verdana"/>
          <w:b/>
          <w:bCs/>
          <w:sz w:val="20"/>
          <w:szCs w:val="20"/>
          <w:highlight w:val="white"/>
        </w:rPr>
        <w:t>BEM</w:t>
      </w:r>
      <w:r>
        <w:rPr>
          <w:rFonts w:ascii="Verdana" w:hAnsi="Verdana"/>
          <w:sz w:val="20"/>
          <w:szCs w:val="20"/>
          <w:highlight w:val="white"/>
        </w:rPr>
        <w:t xml:space="preserve"> genannt. Die Humboldt-Universität zu Berlin hat dieses Verfahren zuletzt 2013 aktualisiert und in einem Leitfaden veröffentlicht. Dieses Verfahren den BEM-berechtigten Beschäftigten anzubieten, ist für die HU per Gesetz verpflichtend. Das Verfahren anzunehmen und/oder vollständig durchzuführen ist für die BEM-Berechtigten hingegen freiwillig. Das aktuelle Verfahren ist wegen der personellen Veränderungen beim Arbeitgeber und beim Personalrat und der geänderten Gesetzeslage dringend anzupassen.</w:t>
      </w:r>
    </w:p>
    <w:p>
      <w:pPr>
        <w:pStyle w:val="StandardWeb1"/>
        <w:spacing w:beforeAutospacing="0" w:before="0" w:afterAutospacing="0" w:after="0"/>
        <w:jc w:val="both"/>
        <w:rPr>
          <w:rFonts w:ascii="Verdana" w:hAnsi="Verdana"/>
          <w:sz w:val="20"/>
          <w:szCs w:val="20"/>
          <w:highlight w:val="white"/>
        </w:rPr>
      </w:pPr>
      <w:r>
        <w:rPr>
          <w:rFonts w:ascii="Verdana" w:hAnsi="Verdana"/>
          <w:sz w:val="20"/>
          <w:szCs w:val="20"/>
          <w:highlight w:val="white"/>
        </w:rPr>
        <w:t xml:space="preserve">Ab März 2024 übernahm Frau Lein die Aufgaben der </w:t>
      </w:r>
      <w:r>
        <w:rPr>
          <w:rFonts w:ascii="Verdana" w:hAnsi="Verdana"/>
          <w:b/>
          <w:sz w:val="20"/>
          <w:szCs w:val="20"/>
          <w:highlight w:val="white"/>
        </w:rPr>
        <w:t>Inklusionsbeauftragten der HU,</w:t>
      </w:r>
      <w:r>
        <w:rPr>
          <w:rFonts w:ascii="Verdana" w:hAnsi="Verdana"/>
          <w:sz w:val="20"/>
          <w:szCs w:val="20"/>
          <w:highlight w:val="white"/>
        </w:rPr>
        <w:t xml:space="preserve"> zu denen auch das BEM-Verfahren gehört: (</w:t>
      </w:r>
      <w:hyperlink r:id="rId11" w:tooltip="https://intranet.hu-berlin.de/pages/humboldt/apps/blog/gremien-vertretungen/view/447fdd0b-1063-4b25-920e-ff4e1dfabe68">
        <w:r>
          <w:rPr>
            <w:rStyle w:val="Hyperlink"/>
            <w:rFonts w:ascii="Verdana" w:hAnsi="Verdana"/>
            <w:color w:val="auto"/>
            <w:sz w:val="20"/>
            <w:szCs w:val="20"/>
            <w:highlight w:val="white"/>
            <w:u w:val="none"/>
          </w:rPr>
          <w:t>https://hu.berlin/61465</w:t>
        </w:r>
      </w:hyperlink>
      <w:r>
        <w:rPr>
          <w:rFonts w:ascii="Verdana" w:hAnsi="Verdana"/>
          <w:sz w:val="20"/>
          <w:szCs w:val="20"/>
          <w:highlight w:val="white"/>
        </w:rPr>
        <w:t>).</w:t>
      </w:r>
    </w:p>
    <w:p>
      <w:pPr>
        <w:pStyle w:val="StandardWeb1"/>
        <w:spacing w:beforeAutospacing="0" w:before="0" w:afterAutospacing="0" w:after="0"/>
        <w:jc w:val="both"/>
        <w:rPr>
          <w:rFonts w:ascii="Verdana" w:hAnsi="Verdana"/>
          <w:sz w:val="20"/>
          <w:szCs w:val="20"/>
          <w:highlight w:val="white"/>
        </w:rPr>
      </w:pPr>
      <w:r>
        <w:rPr>
          <w:rFonts w:ascii="Verdana" w:hAnsi="Verdana"/>
          <w:sz w:val="20"/>
          <w:szCs w:val="20"/>
          <w:highlight w:val="white"/>
        </w:rPr>
      </w:r>
    </w:p>
    <w:p>
      <w:pPr>
        <w:pStyle w:val="StandardWeb1"/>
        <w:spacing w:beforeAutospacing="0" w:before="0" w:afterAutospacing="0" w:after="0"/>
        <w:jc w:val="both"/>
        <w:rPr>
          <w:rFonts w:ascii="Verdana" w:hAnsi="Verdana"/>
          <w:bCs/>
          <w:sz w:val="20"/>
          <w:szCs w:val="20"/>
          <w:highlight w:val="white"/>
        </w:rPr>
      </w:pPr>
      <w:r>
        <w:rPr>
          <w:rFonts w:ascii="Verdana" w:hAnsi="Verdana"/>
          <w:sz w:val="20"/>
          <w:szCs w:val="20"/>
          <w:highlight w:val="white"/>
        </w:rPr>
        <w:t xml:space="preserve">Auch der Personalrat hat neue Mitglieder für das </w:t>
      </w:r>
      <w:r>
        <w:rPr>
          <w:rFonts w:ascii="Verdana" w:hAnsi="Verdana"/>
          <w:b/>
          <w:sz w:val="20"/>
          <w:szCs w:val="20"/>
          <w:highlight w:val="white"/>
        </w:rPr>
        <w:t>Integrations-Team</w:t>
      </w:r>
      <w:r>
        <w:rPr>
          <w:rFonts w:ascii="Verdana" w:hAnsi="Verdana"/>
          <w:sz w:val="20"/>
          <w:szCs w:val="20"/>
          <w:highlight w:val="white"/>
        </w:rPr>
        <w:t xml:space="preserve"> benannt. Dieses Team soll das betriebliche Eingliederungsmanagement des Arbeitgebers mitgestalten und BEM-Berechtigte beraten. Bitte zögern Sie nicht, den Personalrat bei Fragen frühzeitig zu kontaktieren, unabhängig davon, ob Sie als BEM-Berechtigte dieses Verfahren nutzen möchten oder nicht oder in bereits laufenden Verfahren Fragen entstanden sind.</w:t>
      </w:r>
    </w:p>
    <w:p>
      <w:pPr>
        <w:pStyle w:val="NormalWeb"/>
        <w:spacing w:beforeAutospacing="0" w:before="0" w:afterAutospacing="0" w:after="0"/>
        <w:jc w:val="both"/>
        <w:rPr>
          <w:rFonts w:ascii="Verdana" w:hAnsi="Verdana" w:cs="Arial"/>
          <w:sz w:val="20"/>
          <w:szCs w:val="20"/>
        </w:rPr>
      </w:pPr>
      <w:r>
        <w:rPr>
          <w:rFonts w:cs="Arial" w:ascii="Verdana" w:hAnsi="Verdana"/>
          <w:sz w:val="20"/>
          <w:szCs w:val="20"/>
        </w:rPr>
      </w:r>
    </w:p>
    <w:p>
      <w:pPr>
        <w:pStyle w:val="Normal"/>
        <w:jc w:val="both"/>
        <w:rPr>
          <w:rFonts w:ascii="Verdana" w:hAnsi="Verdana"/>
          <w:b/>
          <w:bCs/>
          <w:sz w:val="20"/>
          <w:szCs w:val="20"/>
        </w:rPr>
      </w:pPr>
      <w:r>
        <w:rPr>
          <w:rFonts w:ascii="Verdana" w:hAnsi="Verdana"/>
          <w:b/>
          <w:bCs/>
          <w:sz w:val="44"/>
          <w:szCs w:val="44"/>
        </w:rPr>
        <w:t>A</w:t>
      </w:r>
      <w:r>
        <w:rPr>
          <w:rFonts w:ascii="Verdana" w:hAnsi="Verdana"/>
          <w:b/>
          <w:bCs/>
          <w:sz w:val="20"/>
          <w:szCs w:val="20"/>
        </w:rPr>
        <w:t>usschlussfrist/Geltendmachung</w:t>
      </w:r>
    </w:p>
    <w:p>
      <w:pPr>
        <w:pStyle w:val="Normal"/>
        <w:jc w:val="both"/>
        <w:rPr>
          <w:rFonts w:ascii="Verdana" w:hAnsi="Verdana"/>
          <w:sz w:val="20"/>
          <w:szCs w:val="20"/>
        </w:rPr>
      </w:pPr>
      <w:r>
        <w:rPr>
          <w:rFonts w:ascii="Verdana" w:hAnsi="Verdana"/>
          <w:sz w:val="20"/>
          <w:szCs w:val="20"/>
        </w:rPr>
        <w:t>Auf Ihren Arbeitsvertrag mit der Universität ist in der Regel der TV-L HU anwendbar, weil dieser in Ihrem Arbeitsvertrag in Bezug genommen wurde. In der § 37 enthält der Tarifvertrag eine Ausschlussfrist von 6 Monaten für Ansprüche aus dem Arbeitsverhältnis. Dies hat zur Folge, dass Ihre Ansprüche verfallen, wenn diese nicht innerhalb einer Frist von 6 Monaten ab Fälligkeit geltend gemacht werden. Wenn Sie also der Meinung sind, dass Ihnen neben den ausgezahlten Beträgen weitere Ansprüche zustehen, müssen Sie diese innerhalb der Frist gegenüber der Personalstelle der HU geltend machen. Zusagen Ihrer unmittelbaren Vorgesetzten helfen Ihnen nicht, wenn die Geltendmachung fehlt. Wenn Ihnen z.B. ohne Zustimmung der Personalabteilung Aufgaben außerhalb Ihrer BAK übertragen werden, denken Sie daran, dies der Personalstelle mitzuteilen und den Differenzbetrag zu Ihrem aktuellen Entgelt geltend zu machen.</w:t>
      </w:r>
    </w:p>
    <w:p>
      <w:pPr>
        <w:pStyle w:val="NormalWeb"/>
        <w:spacing w:beforeAutospacing="0" w:before="0" w:afterAutospacing="0" w:after="0"/>
        <w:jc w:val="both"/>
        <w:rPr>
          <w:rFonts w:ascii="Verdana" w:hAnsi="Verdana" w:cs="Arial"/>
          <w:sz w:val="20"/>
          <w:szCs w:val="20"/>
        </w:rPr>
      </w:pPr>
      <w:r>
        <w:rPr>
          <w:rFonts w:cs="Arial" w:ascii="Verdana" w:hAnsi="Verdana"/>
          <w:sz w:val="20"/>
          <w:szCs w:val="20"/>
        </w:rPr>
      </w:r>
    </w:p>
    <w:p>
      <w:pPr>
        <w:pStyle w:val="Normal"/>
        <w:jc w:val="both"/>
        <w:rPr>
          <w:rFonts w:ascii="Verdana" w:hAnsi="Verdana" w:eastAsia="Verdana" w:cs="Verdana"/>
          <w:b/>
          <w:sz w:val="20"/>
          <w:szCs w:val="20"/>
        </w:rPr>
      </w:pPr>
      <w:r>
        <w:rPr>
          <w:rFonts w:eastAsia="Verdana" w:cs="Verdana" w:ascii="Verdana" w:hAnsi="Verdana"/>
          <w:b/>
          <w:sz w:val="44"/>
          <w:szCs w:val="44"/>
        </w:rPr>
        <w:t>B</w:t>
      </w:r>
      <w:r>
        <w:rPr>
          <w:rFonts w:eastAsia="Verdana" w:cs="Verdana" w:ascii="Verdana" w:hAnsi="Verdana"/>
          <w:b/>
          <w:sz w:val="20"/>
          <w:szCs w:val="20"/>
        </w:rPr>
        <w:t>arrierefreiheit an der HU aus Sicht der Beschäftigten</w:t>
      </w:r>
    </w:p>
    <w:p>
      <w:pPr>
        <w:pStyle w:val="Normal"/>
        <w:jc w:val="both"/>
        <w:rPr>
          <w:rFonts w:ascii="Verdana" w:hAnsi="Verdana" w:cs="Verdana"/>
          <w:sz w:val="20"/>
          <w:szCs w:val="20"/>
        </w:rPr>
      </w:pPr>
      <w:r>
        <w:rPr>
          <w:rFonts w:eastAsia="Verdana" w:cs="Verdana" w:ascii="Verdana" w:hAnsi="Verdana"/>
          <w:sz w:val="20"/>
          <w:szCs w:val="20"/>
        </w:rPr>
        <w:t xml:space="preserve">Derzeit existiert an der HU keine zentrale, verlässliche Übersicht zur Barrierefreiheit der Gebäude. Informationen sind nur punktuell verfügbar, etwa über einzelne Gebäudebeschreibungen oder durch eigene Nachfrage. Beschäftigte müssen daher individuell klären, ob ein Gebäude über Aufzüge, barrierefreie WCs oder sonstige Orientierungshilfen verfügt. Nicht immer (oder: eher selten) stehen die dafür notwendigen Informationen zur Verfügung. Anders ist dies bei Lehrräumen, hier wird Agnes sukzessive mit den erforderlichen Informationen zur barrierefreien Raumausstattung ergänzt, allerdings sind auch diese Informationen zurzeit – unter anderem wegen Personalmangels – nicht verlässlich. </w:t>
      </w:r>
    </w:p>
    <w:p>
      <w:pPr>
        <w:pStyle w:val="Normal"/>
        <w:jc w:val="both"/>
        <w:rPr>
          <w:rFonts w:ascii="Verdana" w:hAnsi="Verdana" w:cs="Verdana"/>
          <w:sz w:val="20"/>
          <w:szCs w:val="20"/>
        </w:rPr>
      </w:pPr>
      <w:r>
        <w:rPr>
          <w:rFonts w:eastAsia="Verdana" w:cs="Verdana" w:ascii="Verdana" w:hAnsi="Verdana"/>
          <w:sz w:val="20"/>
          <w:szCs w:val="20"/>
        </w:rPr>
        <w:t>Eine zentrale, barrierefreie Übersicht über die Gebäude der HU, die Informationen zur Erreichbarkeit, zu Aufzügen, barrierefreien Toiletten und sonstigen Merkmalen enthält, wäre sehr hilfreich. Ein solches Informationsangebot würde nicht nur den Betroffenen Planungssicherheit geben, sondern auch allen anderen Beschäftigten und Studierenden die Orientierung erleichtern.</w:t>
      </w:r>
    </w:p>
    <w:p>
      <w:pPr>
        <w:pStyle w:val="Normal"/>
        <w:jc w:val="both"/>
        <w:rPr>
          <w:rFonts w:ascii="Verdana" w:hAnsi="Verdana" w:cs="Verdana"/>
          <w:sz w:val="20"/>
          <w:szCs w:val="20"/>
        </w:rPr>
      </w:pPr>
      <w:r>
        <w:rPr>
          <w:rFonts w:eastAsia="Verdana" w:cs="Verdana" w:ascii="Verdana" w:hAnsi="Verdana"/>
          <w:sz w:val="20"/>
          <w:szCs w:val="20"/>
        </w:rPr>
        <w:t>Die Angaben zur Barrierefreiheit für Rollstuhlfahrende erfolgen nach bestem Wissen, jedoch ohne Gewähr.</w:t>
      </w:r>
    </w:p>
    <w:p>
      <w:pPr>
        <w:pStyle w:val="Normal"/>
        <w:jc w:val="both"/>
        <w:rPr>
          <w:rFonts w:ascii="Verdana" w:hAnsi="Verdana" w:cs="Verdana"/>
          <w:sz w:val="20"/>
          <w:szCs w:val="20"/>
          <w:u w:val="single"/>
        </w:rPr>
      </w:pPr>
      <w:r>
        <w:rPr>
          <w:rFonts w:eastAsia="Verdana" w:cs="Verdana" w:ascii="Verdana" w:hAnsi="Verdana"/>
          <w:sz w:val="20"/>
          <w:szCs w:val="20"/>
          <w:u w:val="single"/>
        </w:rPr>
        <w:t>Barrierefreiheit für Rollstuhlfahrende</w:t>
      </w:r>
    </w:p>
    <w:p>
      <w:pPr>
        <w:pStyle w:val="Normal"/>
        <w:jc w:val="both"/>
        <w:rPr>
          <w:rFonts w:ascii="Verdana" w:hAnsi="Verdana" w:cs="Verdana"/>
          <w:sz w:val="20"/>
          <w:szCs w:val="20"/>
        </w:rPr>
      </w:pPr>
      <w:r>
        <w:rPr>
          <w:rFonts w:eastAsia="Verdana" w:cs="Verdana" w:ascii="Verdana" w:hAnsi="Verdana"/>
          <w:sz w:val="20"/>
          <w:szCs w:val="20"/>
        </w:rPr>
        <w:t>Die Mehrheit der Gebäude der Humboldt-Universität zu Berlin ist für Rollstuhlfahrende zugänglich. Die Gebäude, auf die dies zutrifft, haben auch eine rollstuhlgerechte Toilette. In vielen Fällen handelt es sich allerdings tatsächlich nur um eine einzelne rollstuhlgerechte Toilette pro Gebäude. Für die Nutzung der rollstuhlgerechten Toiletten ist ein Euro-Schlüssel erforderlich. Im Hauptgebäude (Unter den Linden 6) ist es möglich, einen Euro-Schlüssel an der Pforte auszuleihen.</w:t>
      </w:r>
    </w:p>
    <w:p>
      <w:pPr>
        <w:pStyle w:val="Normal"/>
        <w:jc w:val="both"/>
        <w:rPr>
          <w:rFonts w:ascii="Verdana" w:hAnsi="Verdana" w:cs="Verdana"/>
          <w:sz w:val="20"/>
          <w:szCs w:val="20"/>
        </w:rPr>
      </w:pPr>
      <w:r>
        <w:rPr>
          <w:rFonts w:eastAsia="Verdana" w:cs="Verdana" w:ascii="Verdana" w:hAnsi="Verdana"/>
          <w:sz w:val="20"/>
          <w:szCs w:val="20"/>
        </w:rPr>
        <w:t>Für Rollstuhlfahrende NICHT zugänglich sind folgende Gebäude:</w:t>
      </w:r>
    </w:p>
    <w:p>
      <w:pPr>
        <w:pStyle w:val="Normal"/>
        <w:numPr>
          <w:ilvl w:val="0"/>
          <w:numId w:val="0"/>
        </w:numPr>
        <w:jc w:val="both"/>
        <w:outlineLvl w:val="2"/>
        <w:rPr>
          <w:rFonts w:ascii="Verdana" w:hAnsi="Verdana" w:cs="Verdana"/>
          <w:b/>
          <w:bCs/>
          <w:sz w:val="20"/>
          <w:szCs w:val="20"/>
        </w:rPr>
      </w:pPr>
      <w:r>
        <w:rPr>
          <w:rFonts w:eastAsia="Verdana" w:cs="Verdana" w:ascii="Verdana" w:hAnsi="Verdana"/>
          <w:b/>
          <w:bCs/>
          <w:sz w:val="20"/>
          <w:szCs w:val="20"/>
          <w:lang w:eastAsia="de-DE"/>
        </w:rPr>
        <w:t>Campus Mitte</w:t>
      </w:r>
    </w:p>
    <w:p>
      <w:pPr>
        <w:pStyle w:val="Normal"/>
        <w:jc w:val="both"/>
        <w:rPr>
          <w:rFonts w:ascii="Verdana" w:hAnsi="Verdana" w:cs="Verdana"/>
          <w:sz w:val="20"/>
          <w:szCs w:val="20"/>
        </w:rPr>
      </w:pPr>
      <w:r>
        <w:rPr>
          <w:rFonts w:eastAsia="Verdana" w:cs="Verdana" w:ascii="Verdana" w:hAnsi="Verdana"/>
          <w:sz w:val="20"/>
          <w:szCs w:val="20"/>
        </w:rPr>
        <w:t>Dorotheenstr. 28 (komplett nicht barrierefrei, derzeit Umbauarbeiten)</w:t>
      </w:r>
    </w:p>
    <w:p>
      <w:pPr>
        <w:pStyle w:val="Normal"/>
        <w:jc w:val="both"/>
        <w:rPr>
          <w:rFonts w:ascii="Verdana" w:hAnsi="Verdana" w:cs="Verdana"/>
          <w:b/>
          <w:bCs/>
          <w:sz w:val="20"/>
          <w:szCs w:val="20"/>
        </w:rPr>
      </w:pPr>
      <w:r>
        <w:rPr>
          <w:rFonts w:eastAsia="Verdana" w:cs="Verdana" w:ascii="Verdana" w:hAnsi="Verdana"/>
          <w:b/>
          <w:bCs/>
          <w:sz w:val="20"/>
          <w:szCs w:val="20"/>
          <w:lang w:eastAsia="de-DE"/>
        </w:rPr>
        <w:t>Campus Nord</w:t>
      </w:r>
    </w:p>
    <w:p>
      <w:pPr>
        <w:pStyle w:val="Normal"/>
        <w:jc w:val="both"/>
        <w:rPr>
          <w:rFonts w:ascii="Verdana" w:hAnsi="Verdana" w:cs="Verdana"/>
          <w:sz w:val="20"/>
          <w:szCs w:val="20"/>
        </w:rPr>
      </w:pPr>
      <w:r>
        <w:rPr>
          <w:rFonts w:eastAsia="Verdana" w:cs="Verdana" w:ascii="Verdana" w:hAnsi="Verdana"/>
          <w:sz w:val="20"/>
          <w:szCs w:val="20"/>
        </w:rPr>
        <w:t xml:space="preserve">Nahezu alle Gebäude mit Ausnahme der Invalidenstr. 42, und 118 und des Gebäudes Philippstr. 13, Haus 25 nicht barrierefrei. </w:t>
      </w:r>
    </w:p>
    <w:p>
      <w:pPr>
        <w:pStyle w:val="Normal"/>
        <w:jc w:val="both"/>
        <w:rPr>
          <w:rFonts w:ascii="Verdana" w:hAnsi="Verdana" w:eastAsia="Verdana" w:cs="Verdana"/>
          <w:sz w:val="20"/>
          <w:szCs w:val="20"/>
        </w:rPr>
      </w:pPr>
      <w:r>
        <w:rPr>
          <w:rFonts w:eastAsia="Verdana" w:cs="Verdana" w:ascii="Verdana" w:hAnsi="Verdana"/>
          <w:sz w:val="20"/>
          <w:szCs w:val="20"/>
        </w:rPr>
        <w:t>Hessische Str. 2, Emil-Fischer-Hörsaal: Zugang für Menschen mit Rollstuhl oder Gehbehinderung nur über die Zweigbibliothek Campus Nord mit Hilfe des Wachschutzes</w:t>
      </w:r>
    </w:p>
    <w:p>
      <w:pPr>
        <w:pStyle w:val="Normal"/>
        <w:jc w:val="both"/>
        <w:rPr>
          <w:rFonts w:ascii="Verdana" w:hAnsi="Verdana" w:cs="Verdana"/>
          <w:sz w:val="20"/>
          <w:szCs w:val="20"/>
        </w:rPr>
      </w:pPr>
      <w:r>
        <w:rPr>
          <w:rFonts w:eastAsia="Verdana" w:cs="Verdana" w:ascii="Verdana" w:hAnsi="Verdana"/>
          <w:sz w:val="20"/>
          <w:szCs w:val="20"/>
        </w:rPr>
        <w:t>Luisenstraße 53, HU-Start-Up-Service, gesamtes Gebäude und Zugang nicht barrierefrei</w:t>
      </w:r>
    </w:p>
    <w:p>
      <w:pPr>
        <w:pStyle w:val="Normal"/>
        <w:jc w:val="both"/>
        <w:rPr>
          <w:rFonts w:ascii="Verdana" w:hAnsi="Verdana" w:cs="Verdana"/>
          <w:b/>
          <w:bCs/>
          <w:sz w:val="20"/>
          <w:szCs w:val="20"/>
        </w:rPr>
      </w:pPr>
      <w:r>
        <w:rPr>
          <w:rFonts w:eastAsia="Verdana" w:cs="Verdana" w:ascii="Verdana" w:hAnsi="Verdana"/>
          <w:b/>
          <w:bCs/>
          <w:sz w:val="20"/>
          <w:szCs w:val="20"/>
        </w:rPr>
        <w:t>Campus Adlershof</w:t>
      </w:r>
    </w:p>
    <w:p>
      <w:pPr>
        <w:pStyle w:val="Normal"/>
        <w:jc w:val="both"/>
        <w:rPr>
          <w:rFonts w:ascii="Verdana" w:hAnsi="Verdana" w:cs="Verdana"/>
          <w:sz w:val="20"/>
          <w:szCs w:val="20"/>
        </w:rPr>
      </w:pPr>
      <w:r>
        <w:rPr>
          <w:rFonts w:eastAsia="Verdana" w:cs="Verdana" w:ascii="Verdana" w:hAnsi="Verdana"/>
          <w:sz w:val="20"/>
          <w:szCs w:val="20"/>
        </w:rPr>
        <w:t>Zum Großen Windkanal 6, Häuser 1 und 2 (zum Institut für Psychologie, PC-Pool).</w:t>
      </w:r>
    </w:p>
    <w:p>
      <w:pPr>
        <w:pStyle w:val="Normal"/>
        <w:widowControl/>
        <w:rPr>
          <w:rFonts w:ascii="Verdana" w:hAnsi="Verdana" w:eastAsia="Verdana" w:cs="Verdana"/>
          <w:b/>
          <w:bCs/>
          <w:sz w:val="20"/>
          <w:szCs w:val="20"/>
        </w:rPr>
      </w:pPr>
      <w:r>
        <w:rPr>
          <w:rFonts w:eastAsia="Verdana" w:cs="Verdana" w:ascii="Verdana" w:hAnsi="Verdana"/>
          <w:b/>
          <w:bCs/>
          <w:sz w:val="20"/>
          <w:szCs w:val="20"/>
        </w:rPr>
      </w:r>
    </w:p>
    <w:p>
      <w:pPr>
        <w:pStyle w:val="Normal"/>
        <w:jc w:val="both"/>
        <w:rPr>
          <w:rFonts w:ascii="Verdana" w:hAnsi="Verdana" w:cs="Verdana"/>
          <w:b/>
          <w:bCs/>
          <w:sz w:val="20"/>
          <w:szCs w:val="20"/>
        </w:rPr>
      </w:pPr>
      <w:r>
        <w:rPr>
          <w:rFonts w:eastAsia="Verdana" w:cs="Verdana" w:ascii="Verdana" w:hAnsi="Verdana"/>
          <w:b/>
          <w:bCs/>
          <w:sz w:val="20"/>
          <w:szCs w:val="20"/>
        </w:rPr>
        <w:t>Sonstige</w:t>
      </w:r>
    </w:p>
    <w:p>
      <w:pPr>
        <w:pStyle w:val="Normal"/>
        <w:jc w:val="both"/>
        <w:rPr>
          <w:rFonts w:ascii="Verdana" w:hAnsi="Verdana" w:cs="Verdana"/>
          <w:sz w:val="20"/>
          <w:szCs w:val="20"/>
        </w:rPr>
      </w:pPr>
      <w:r>
        <w:rPr>
          <w:rFonts w:eastAsia="Verdana" w:cs="Verdana" w:ascii="Verdana" w:hAnsi="Verdana"/>
          <w:sz w:val="20"/>
          <w:szCs w:val="20"/>
        </w:rPr>
        <w:t>Wassersportzentrum Schmöckwitz, Alt-Schmöckwitz: ÖPNV (Straßenbahn) nicht barrierefrei, Stufen am Gebäude, keine Behindertentoilette.</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b/>
          <w:sz w:val="20"/>
          <w:szCs w:val="20"/>
        </w:rPr>
      </w:pPr>
      <w:r>
        <w:rPr>
          <w:rFonts w:eastAsia="Verdana" w:cs="Verdana" w:ascii="Verdana" w:hAnsi="Verdana"/>
          <w:b/>
          <w:sz w:val="20"/>
          <w:szCs w:val="20"/>
        </w:rPr>
        <w:t>Bekannte Einschränkungen der Barrierefreiheit für Rollstuhlfahrende</w:t>
      </w:r>
    </w:p>
    <w:p>
      <w:pPr>
        <w:pStyle w:val="Normal"/>
        <w:jc w:val="both"/>
        <w:rPr>
          <w:rFonts w:ascii="Verdana" w:hAnsi="Verdana" w:cs="Verdana"/>
          <w:b/>
          <w:sz w:val="20"/>
          <w:szCs w:val="20"/>
        </w:rPr>
      </w:pPr>
      <w:r>
        <w:rPr>
          <w:rFonts w:eastAsia="Verdana" w:cs="Verdana" w:ascii="Verdana" w:hAnsi="Verdana"/>
          <w:b/>
          <w:sz w:val="20"/>
          <w:szCs w:val="20"/>
        </w:rPr>
        <w:t>In reinen Bürogebäuden gibt es in der Regel keine Automatiktüren.</w:t>
      </w:r>
    </w:p>
    <w:p>
      <w:pPr>
        <w:pStyle w:val="Normal"/>
        <w:numPr>
          <w:ilvl w:val="0"/>
          <w:numId w:val="0"/>
        </w:numPr>
        <w:jc w:val="both"/>
        <w:outlineLvl w:val="2"/>
        <w:rPr>
          <w:rFonts w:ascii="Verdana" w:hAnsi="Verdana" w:cs="Verdana"/>
          <w:b/>
          <w:bCs/>
          <w:sz w:val="20"/>
          <w:szCs w:val="20"/>
        </w:rPr>
      </w:pPr>
      <w:r>
        <w:rPr>
          <w:rFonts w:eastAsia="Verdana" w:cs="Verdana" w:ascii="Verdana" w:hAnsi="Verdana"/>
          <w:b/>
          <w:bCs/>
          <w:sz w:val="20"/>
          <w:szCs w:val="20"/>
          <w:lang w:eastAsia="de-DE"/>
        </w:rPr>
        <w:t>Campus Mitte</w:t>
      </w:r>
    </w:p>
    <w:p>
      <w:pPr>
        <w:pStyle w:val="Normal"/>
        <w:widowControl/>
        <w:numPr>
          <w:ilvl w:val="0"/>
          <w:numId w:val="5"/>
        </w:numPr>
        <w:jc w:val="both"/>
        <w:rPr>
          <w:rFonts w:ascii="Verdana" w:hAnsi="Verdana" w:cs="Verdana"/>
          <w:sz w:val="20"/>
          <w:szCs w:val="20"/>
        </w:rPr>
      </w:pPr>
      <w:r>
        <w:rPr>
          <w:rFonts w:eastAsia="Verdana" w:cs="Verdana" w:ascii="Verdana" w:hAnsi="Verdana"/>
          <w:sz w:val="20"/>
          <w:szCs w:val="20"/>
        </w:rPr>
        <w:t>Dorotheenstr. 24: Behindertenparkplätze sind regelmäßig fremdbeparkt</w:t>
      </w:r>
    </w:p>
    <w:p>
      <w:pPr>
        <w:pStyle w:val="Normal"/>
        <w:widowControl/>
        <w:numPr>
          <w:ilvl w:val="0"/>
          <w:numId w:val="5"/>
        </w:numPr>
        <w:jc w:val="both"/>
        <w:rPr>
          <w:rFonts w:ascii="Verdana" w:hAnsi="Verdana" w:cs="Verdana"/>
          <w:sz w:val="20"/>
          <w:szCs w:val="20"/>
        </w:rPr>
      </w:pPr>
      <w:r>
        <w:rPr>
          <w:rFonts w:eastAsia="Verdana" w:cs="Verdana" w:ascii="Verdana" w:hAnsi="Verdana"/>
          <w:sz w:val="20"/>
          <w:szCs w:val="20"/>
        </w:rPr>
        <w:t>Georgenstr. 47: U. a. kein Behindertenparkplatz, die Einrichtung wurde durch das Bezirksamt abgelehnt, in der Tiefgarage gibt es keine Automatiktüren</w:t>
      </w:r>
    </w:p>
    <w:p>
      <w:pPr>
        <w:pStyle w:val="Normal"/>
        <w:widowControl/>
        <w:numPr>
          <w:ilvl w:val="0"/>
          <w:numId w:val="5"/>
        </w:numPr>
        <w:jc w:val="both"/>
        <w:rPr>
          <w:rFonts w:ascii="Verdana" w:hAnsi="Verdana" w:cs="Verdana"/>
          <w:sz w:val="20"/>
          <w:szCs w:val="20"/>
        </w:rPr>
      </w:pPr>
      <w:r>
        <w:rPr>
          <w:rFonts w:eastAsia="Verdana" w:cs="Verdana" w:ascii="Verdana" w:hAnsi="Verdana"/>
          <w:sz w:val="20"/>
          <w:szCs w:val="20"/>
        </w:rPr>
        <w:t>Unter den Linden 6: Kopfsteinpflaster beim Zugang über den Ehrenhof und durch den Garten von der Dorotheenstr.</w:t>
      </w:r>
    </w:p>
    <w:p>
      <w:pPr>
        <w:pStyle w:val="Normal"/>
        <w:widowControl/>
        <w:numPr>
          <w:ilvl w:val="0"/>
          <w:numId w:val="5"/>
        </w:numPr>
        <w:jc w:val="both"/>
        <w:rPr>
          <w:rFonts w:ascii="Verdana" w:hAnsi="Verdana" w:cs="Verdana"/>
          <w:sz w:val="20"/>
          <w:szCs w:val="20"/>
        </w:rPr>
      </w:pPr>
      <w:r>
        <w:rPr>
          <w:rFonts w:eastAsia="Verdana" w:cs="Verdana" w:ascii="Verdana" w:hAnsi="Verdana"/>
          <w:sz w:val="20"/>
          <w:szCs w:val="20"/>
        </w:rPr>
        <w:t>Unter den Linden 6: Aufgrund von Bauarbeiten ist der barrierefreie Zugang zum Ostflügel bis auf Weiteres nur über den Aufzug Westflügel möglich. Für Hilfe bei der Orientierung im Gebäude wenden Sie sich bitte an den Wachschutz vor Ort.</w:t>
      </w:r>
    </w:p>
    <w:p>
      <w:pPr>
        <w:pStyle w:val="Normal"/>
        <w:jc w:val="both"/>
        <w:rPr>
          <w:rFonts w:ascii="Verdana" w:hAnsi="Verdana" w:cs="Verdana"/>
          <w:b/>
          <w:bCs/>
          <w:sz w:val="20"/>
          <w:szCs w:val="20"/>
        </w:rPr>
      </w:pPr>
      <w:r>
        <w:rPr>
          <w:rFonts w:eastAsia="Verdana" w:cs="Verdana" w:ascii="Verdana" w:hAnsi="Verdana"/>
          <w:b/>
          <w:bCs/>
          <w:sz w:val="20"/>
          <w:szCs w:val="20"/>
        </w:rPr>
        <w:t>Campus Adlershof</w:t>
      </w:r>
    </w:p>
    <w:p>
      <w:pPr>
        <w:pStyle w:val="ListParagraph"/>
        <w:numPr>
          <w:ilvl w:val="0"/>
          <w:numId w:val="7"/>
        </w:numPr>
        <w:spacing w:lineRule="auto" w:line="240" w:before="0" w:after="0"/>
        <w:contextualSpacing/>
        <w:jc w:val="both"/>
        <w:rPr>
          <w:rFonts w:ascii="Verdana" w:hAnsi="Verdana" w:cs="Verdana"/>
          <w:bCs/>
          <w:sz w:val="20"/>
          <w:szCs w:val="20"/>
        </w:rPr>
      </w:pPr>
      <w:r>
        <w:rPr>
          <w:rFonts w:eastAsia="Verdana" w:cs="Verdana" w:ascii="Verdana" w:hAnsi="Verdana"/>
          <w:sz w:val="20"/>
          <w:szCs w:val="20"/>
          <w:lang w:eastAsia="de-DE"/>
        </w:rPr>
        <w:t>Rudower Chaussee 16/18: Behindertenparkplätze sind regelmäßig fremdbeparkt.</w:t>
      </w:r>
    </w:p>
    <w:p>
      <w:pPr>
        <w:pStyle w:val="ListParagraph"/>
        <w:spacing w:lineRule="auto" w:line="240" w:before="0" w:after="0"/>
        <w:ind w:left="709"/>
        <w:contextualSpacing/>
        <w:jc w:val="both"/>
        <w:rPr>
          <w:rFonts w:ascii="Verdana" w:hAnsi="Verdana" w:cs="Verdana"/>
          <w:b/>
          <w:bCs/>
          <w:sz w:val="20"/>
          <w:szCs w:val="20"/>
        </w:rPr>
      </w:pPr>
      <w:r>
        <w:rPr>
          <w:rFonts w:cs="Verdana" w:ascii="Verdana" w:hAnsi="Verdana"/>
          <w:b/>
          <w:bCs/>
          <w:sz w:val="20"/>
          <w:szCs w:val="20"/>
        </w:rPr>
      </w:r>
    </w:p>
    <w:p>
      <w:pPr>
        <w:pStyle w:val="ListParagraph"/>
        <w:numPr>
          <w:ilvl w:val="0"/>
          <w:numId w:val="7"/>
        </w:numPr>
        <w:spacing w:lineRule="auto" w:line="240" w:before="0" w:after="0"/>
        <w:contextualSpacing/>
        <w:jc w:val="both"/>
        <w:rPr>
          <w:rFonts w:ascii="Verdana" w:hAnsi="Verdana" w:cs="Verdana"/>
          <w:sz w:val="20"/>
          <w:szCs w:val="20"/>
        </w:rPr>
      </w:pPr>
      <w:r>
        <w:rPr>
          <w:rFonts w:eastAsia="Verdana" w:cs="Verdana" w:ascii="Verdana" w:hAnsi="Verdana"/>
          <w:sz w:val="20"/>
          <w:szCs w:val="20"/>
          <w:lang w:eastAsia="de-DE"/>
        </w:rPr>
        <w:t xml:space="preserve">Rudower Chaussee 25 (Johann-von-Neumann-Haus): Keine Treppenmarkierung (Stufen und Stoßflächen bei den innenliegenden Treppen). </w:t>
      </w:r>
    </w:p>
    <w:p>
      <w:pPr>
        <w:pStyle w:val="Normal"/>
        <w:jc w:val="both"/>
        <w:rPr>
          <w:rFonts w:ascii="Verdana" w:hAnsi="Verdana" w:cs="Verdana"/>
          <w:sz w:val="20"/>
          <w:szCs w:val="20"/>
        </w:rPr>
      </w:pPr>
      <w:r>
        <w:rPr>
          <w:rFonts w:cs="Verdana" w:ascii="Verdana" w:hAnsi="Verdana"/>
          <w:sz w:val="20"/>
          <w:szCs w:val="20"/>
        </w:rPr>
      </w:r>
    </w:p>
    <w:p>
      <w:pPr>
        <w:pStyle w:val="ListParagraph"/>
        <w:numPr>
          <w:ilvl w:val="0"/>
          <w:numId w:val="7"/>
        </w:numPr>
        <w:spacing w:lineRule="auto" w:line="240" w:before="0" w:after="0"/>
        <w:contextualSpacing/>
        <w:jc w:val="both"/>
        <w:rPr>
          <w:rFonts w:ascii="Verdana" w:hAnsi="Verdana" w:cs="Verdana"/>
          <w:sz w:val="20"/>
          <w:szCs w:val="20"/>
        </w:rPr>
      </w:pPr>
      <w:r>
        <w:rPr>
          <w:rFonts w:eastAsia="Verdana" w:cs="Verdana" w:ascii="Verdana" w:hAnsi="Verdana"/>
          <w:sz w:val="20"/>
          <w:szCs w:val="20"/>
          <w:lang w:eastAsia="de-DE"/>
        </w:rPr>
        <w:t>Rudower Chaussee 26 (ESZ): Keine Automatiktüren am seitlichen Eingang vom Forum; Kopfsteinpflaster beim Haupteingang.</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u w:val="single"/>
        </w:rPr>
      </w:pPr>
      <w:r>
        <w:rPr>
          <w:rFonts w:eastAsia="Verdana" w:cs="Verdana" w:ascii="Verdana" w:hAnsi="Verdana"/>
          <w:sz w:val="20"/>
          <w:szCs w:val="20"/>
          <w:u w:val="single"/>
        </w:rPr>
        <w:t>Barrierefreiheit für Menschen mit Sehbehinderungen</w:t>
      </w:r>
    </w:p>
    <w:p>
      <w:pPr>
        <w:pStyle w:val="Normal"/>
        <w:jc w:val="both"/>
        <w:rPr>
          <w:rFonts w:ascii="Verdana" w:hAnsi="Verdana" w:cs="Verdana"/>
          <w:sz w:val="20"/>
          <w:szCs w:val="20"/>
        </w:rPr>
      </w:pPr>
      <w:r>
        <w:rPr>
          <w:rFonts w:eastAsia="Verdana" w:cs="Verdana" w:ascii="Verdana" w:hAnsi="Verdana"/>
          <w:sz w:val="20"/>
          <w:szCs w:val="20"/>
        </w:rPr>
        <w:t>An der HU sind durchaus einzelne Elemente von Leitsystemen vorhanden. Viele Aufzüge verfügen über Braille-Beschriftungen und Ansage, ebenso finden sich an Treppenaufgängen in der Regel Markierungen in Braille und erhabener Schrift, die das Stockwerk anzeigen. Einige Türschilder sind mit einer Braille-Zahl versehen. Unzureichend ist jedoch die übergreifende Orientierung: Taktile Übersichtspläne am Gebäude-Eingang fehlen, eine durchgängige Leitmarkierung auf den Böden ist nicht vorhanden oder nicht systematisch umgesetzt. Besonders problematisch sind Glastüren, bei denen kontrastreiche Markierungen für Menschen mit Sehbehinderungen noch immer nicht flächendeckend vorhanden sind. Zwar wird bei einzelnen Türen auf Initiative Einzelner nachgerüstet, aber eine einheitliche Lösung fehlt derzeit noch. Zuweilen scheint das Interesse an der Nachrüstung aus Sicht des Personalrats mit dem Verweis auf den Kostenfaktor nicht sehr ausgeprägt.  Insgesamt erschwert diese Situation die selbständige Orientierung in größeren Gebäuden.</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u w:val="single"/>
        </w:rPr>
      </w:pPr>
      <w:r>
        <w:rPr>
          <w:rFonts w:eastAsia="Verdana" w:cs="Verdana" w:ascii="Verdana" w:hAnsi="Verdana"/>
          <w:sz w:val="20"/>
          <w:szCs w:val="20"/>
          <w:u w:val="single"/>
        </w:rPr>
        <w:t>Barrierefreiheit für Menschen mit Beeinträchtigungen des Gehörs und Gehörlose</w:t>
      </w:r>
    </w:p>
    <w:p>
      <w:pPr>
        <w:pStyle w:val="Normal"/>
        <w:jc w:val="both"/>
        <w:rPr>
          <w:rFonts w:ascii="Verdana" w:hAnsi="Verdana" w:cs="Verdana"/>
          <w:sz w:val="20"/>
          <w:szCs w:val="20"/>
        </w:rPr>
      </w:pPr>
      <w:r>
        <w:rPr>
          <w:rFonts w:eastAsia="Verdana" w:cs="Verdana" w:ascii="Verdana" w:hAnsi="Verdana"/>
          <w:b/>
          <w:bCs/>
          <w:sz w:val="20"/>
          <w:szCs w:val="20"/>
          <w:lang w:eastAsia="de-DE"/>
        </w:rPr>
        <w:t>Induktionsschleifen</w:t>
      </w:r>
      <w:r>
        <w:rPr>
          <w:rFonts w:eastAsia="Verdana" w:cs="Verdana" w:ascii="Verdana" w:hAnsi="Verdana"/>
          <w:sz w:val="20"/>
          <w:szCs w:val="20"/>
          <w:lang w:eastAsia="de-DE"/>
        </w:rPr>
        <w:t xml:space="preserve"> sind in einigen Hörsälen verlegt, und zwar (nach bestem Wissen) im:</w:t>
      </w:r>
    </w:p>
    <w:p>
      <w:pPr>
        <w:pStyle w:val="Normal"/>
        <w:widowControl/>
        <w:numPr>
          <w:ilvl w:val="0"/>
          <w:numId w:val="6"/>
        </w:numPr>
        <w:jc w:val="both"/>
        <w:rPr>
          <w:rFonts w:ascii="Verdana" w:hAnsi="Verdana" w:cs="Verdana"/>
          <w:sz w:val="20"/>
          <w:szCs w:val="20"/>
        </w:rPr>
      </w:pPr>
      <w:r>
        <w:rPr>
          <w:rFonts w:eastAsia="Verdana" w:cs="Verdana" w:ascii="Verdana" w:hAnsi="Verdana"/>
          <w:sz w:val="20"/>
          <w:szCs w:val="20"/>
          <w:lang w:eastAsia="de-DE"/>
        </w:rPr>
        <w:t>Hauptgebäude, Unter den Linden 6: Senatssaal, alle Hörsäle im Westflügel</w:t>
      </w:r>
    </w:p>
    <w:p>
      <w:pPr>
        <w:pStyle w:val="Normal"/>
        <w:widowControl/>
        <w:numPr>
          <w:ilvl w:val="0"/>
          <w:numId w:val="6"/>
        </w:numPr>
        <w:jc w:val="both"/>
        <w:rPr>
          <w:rFonts w:ascii="Verdana" w:hAnsi="Verdana" w:cs="Verdana"/>
          <w:sz w:val="20"/>
          <w:szCs w:val="20"/>
        </w:rPr>
      </w:pPr>
      <w:r>
        <w:rPr>
          <w:rFonts w:eastAsia="Verdana" w:cs="Verdana" w:ascii="Verdana" w:hAnsi="Verdana"/>
          <w:sz w:val="20"/>
          <w:szCs w:val="20"/>
          <w:lang w:eastAsia="de-DE"/>
        </w:rPr>
        <w:t>Hörsaal 10 (Nordbau, Invalidenstraße 42) des Instituts für Biologie</w:t>
      </w:r>
    </w:p>
    <w:p>
      <w:pPr>
        <w:pStyle w:val="Normal"/>
        <w:widowControl/>
        <w:numPr>
          <w:ilvl w:val="0"/>
          <w:numId w:val="6"/>
        </w:numPr>
        <w:jc w:val="both"/>
        <w:rPr>
          <w:rFonts w:ascii="Verdana" w:hAnsi="Verdana" w:cs="Verdana"/>
          <w:sz w:val="20"/>
          <w:szCs w:val="20"/>
        </w:rPr>
      </w:pPr>
      <w:r>
        <w:rPr>
          <w:rFonts w:eastAsia="Verdana" w:cs="Verdana" w:ascii="Verdana" w:hAnsi="Verdana"/>
          <w:sz w:val="20"/>
          <w:szCs w:val="20"/>
          <w:lang w:eastAsia="de-DE"/>
        </w:rPr>
        <w:t>großen Hörsaal 3'001 des Instituts für Informatik in Adlershof</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u w:val="single"/>
        </w:rPr>
      </w:pPr>
      <w:r>
        <w:rPr>
          <w:rFonts w:eastAsia="Verdana" w:cs="Verdana" w:ascii="Verdana" w:hAnsi="Verdana"/>
          <w:sz w:val="20"/>
          <w:szCs w:val="20"/>
          <w:u w:val="single"/>
        </w:rPr>
        <w:t>Ruheräume für Menschen mit Behinderungen</w:t>
      </w:r>
    </w:p>
    <w:p>
      <w:pPr>
        <w:pStyle w:val="Normal"/>
        <w:jc w:val="both"/>
        <w:rPr>
          <w:rFonts w:ascii="Verdana" w:hAnsi="Verdana" w:cs="Verdana"/>
          <w:sz w:val="20"/>
          <w:szCs w:val="20"/>
        </w:rPr>
      </w:pPr>
      <w:r>
        <w:rPr>
          <w:rFonts w:eastAsia="Verdana" w:cs="Verdana" w:ascii="Verdana" w:hAnsi="Verdana"/>
          <w:sz w:val="20"/>
          <w:szCs w:val="20"/>
          <w:lang w:eastAsia="de-DE"/>
        </w:rPr>
        <w:t>An der HU gibt es keine flächendeckende Versorgung mit Ruheräumen oder Familienräumen, vielmehr herrscht eine extreme Raumnot. In der Praxis wird aber meist individuell reagiert: wenn Beschäftigte im BEM oder in direkter Ansprache den Bedarf an einer Ausruhmöglichkeit geltend machen, wird versucht, eine Lösung zu finden. Oft gelingt es, ein Einzelbüro mit Ruhemöglichkeit einzurichten oder andere provisorische Räume zugänglich zu machen. In einzelnen Fällen hat das Integrationsamt bereits Ruhemöbel finanziert, wenn die Notwendigkeit nachgewiesen werden konnte. Der Gesamteindruck bleibt jedoch, dass die Zahl solcher Räume insgesamt zu gering ist und dass in der Tendenz eher weniger Ruheräume verfügbar sind als früher.</w:t>
      </w:r>
    </w:p>
    <w:p>
      <w:pPr>
        <w:pStyle w:val="Normal"/>
        <w:widowControl/>
        <w:rPr>
          <w:rFonts w:ascii="Verdana" w:hAnsi="Verdana" w:eastAsia="Verdana" w:cs="Verdana"/>
          <w:sz w:val="20"/>
          <w:szCs w:val="20"/>
          <w:u w:val="single"/>
        </w:rPr>
      </w:pPr>
      <w:r>
        <w:rPr>
          <w:rFonts w:eastAsia="Verdana" w:cs="Verdana" w:ascii="Verdana" w:hAnsi="Verdana"/>
          <w:sz w:val="20"/>
          <w:szCs w:val="20"/>
          <w:u w:val="single"/>
        </w:rPr>
      </w:r>
    </w:p>
    <w:p>
      <w:pPr>
        <w:pStyle w:val="Normal"/>
        <w:jc w:val="both"/>
        <w:rPr>
          <w:rFonts w:ascii="Verdana" w:hAnsi="Verdana" w:cs="Verdana"/>
          <w:sz w:val="20"/>
          <w:szCs w:val="20"/>
          <w:u w:val="single"/>
        </w:rPr>
      </w:pPr>
      <w:r>
        <w:rPr>
          <w:rFonts w:eastAsia="Verdana" w:cs="Verdana" w:ascii="Verdana" w:hAnsi="Verdana"/>
          <w:sz w:val="20"/>
          <w:szCs w:val="20"/>
          <w:u w:val="single"/>
        </w:rPr>
        <w:t>Barrierefreiheit für Menschen mit Lernschwierigkeiten</w:t>
      </w:r>
    </w:p>
    <w:p>
      <w:pPr>
        <w:pStyle w:val="Normal"/>
        <w:jc w:val="both"/>
        <w:rPr>
          <w:rFonts w:ascii="Verdana" w:hAnsi="Verdana" w:cs="Verdana"/>
          <w:sz w:val="20"/>
          <w:szCs w:val="20"/>
        </w:rPr>
      </w:pPr>
      <w:r>
        <w:rPr>
          <w:rFonts w:eastAsia="Verdana" w:cs="Verdana" w:ascii="Verdana" w:hAnsi="Verdana"/>
          <w:sz w:val="20"/>
          <w:szCs w:val="20"/>
        </w:rPr>
        <w:t>Für den internen Verwaltungsbereich gibt es bislang keine Informationen in Leichter Sprache. Hier besteht aktuell auch keine Planung, solche Angebote einzuführen, da die Zielgruppe ausschließlich die Beschäftigten sind und keine gesetzliche Verpflichtung zur umfassenden Übersetzung besteht.</w:t>
      </w:r>
    </w:p>
    <w:p>
      <w:pPr>
        <w:pStyle w:val="Normal"/>
        <w:jc w:val="both"/>
        <w:rPr>
          <w:rFonts w:ascii="Verdana" w:hAnsi="Verdana" w:cs="Verdana"/>
          <w:sz w:val="20"/>
          <w:szCs w:val="20"/>
        </w:rPr>
      </w:pPr>
      <w:r>
        <w:rPr>
          <w:rFonts w:eastAsia="Verdana" w:cs="Verdana" w:ascii="Verdana" w:hAnsi="Verdana"/>
          <w:sz w:val="20"/>
          <w:szCs w:val="20"/>
        </w:rPr>
        <w:t xml:space="preserve">Die neue Webseite der HU orientiert sich an den gesetzlichen Vorgaben. Die Hauptseiten sollen sowohl in Leichter Sprache als auch in Gebärdensprache bereitgestellt werden; die Umsetzung wird durch Anleitungen und Videos unterstützt, die den dezentralen Bereichen helfen sollen, ihre Inhalte entsprechend aufzubereiten. Ob dies auch für studiengangsbezogene Informationen bereits systematisch geschieht, ist unklar. </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u w:val="single"/>
        </w:rPr>
      </w:pPr>
      <w:r>
        <w:rPr>
          <w:rFonts w:eastAsia="Verdana" w:cs="Verdana" w:ascii="Verdana" w:hAnsi="Verdana"/>
          <w:sz w:val="20"/>
          <w:szCs w:val="20"/>
          <w:u w:val="single"/>
        </w:rPr>
        <w:t>Individuelle Hilfsmittel für Beschäftigte</w:t>
      </w:r>
    </w:p>
    <w:p>
      <w:pPr>
        <w:pStyle w:val="Normal"/>
        <w:jc w:val="both"/>
        <w:rPr>
          <w:rFonts w:ascii="Verdana" w:hAnsi="Verdana" w:cs="Verdana"/>
          <w:sz w:val="20"/>
          <w:szCs w:val="20"/>
        </w:rPr>
      </w:pPr>
      <w:r>
        <w:rPr>
          <w:rFonts w:eastAsia="Verdana" w:cs="Verdana" w:ascii="Verdana" w:hAnsi="Verdana"/>
          <w:sz w:val="20"/>
          <w:szCs w:val="20"/>
        </w:rPr>
        <w:t>An der HU erfolgt die Beschaffung von Hilfsmitteln dezentral über die jeweiligen Bereiche. Beschäftigte melden ihren Bedarf direkt dort an; für größere oder kostenintensivere Anschaffungen unterstützt die Inklusionsbeauftragte Frau Lein bei der Antragstellung, insbesondere in Richtung Integrationsamt. Die Schwerbehindertenvertretung ist nicht in die Beschaffung eingebunden, verweist bei Anfragen aber an die zuständigen Stellen weiter. In der Praxis wird der konkrete Hilfsmittelbedarf häufig durch ärztliche Begutachtungen festgestellt, entweder durch das Arbeitsmedizinische Zentrum (AMZ), durch externe Fachärzte oder spezialisierte Beratungsstellen, zum Beispiel für sehbehinderte Menschen. Auch im Rahmen von BEM-Verfahren nach längerer Erkrankung werden regelmäßig Arbeitsplatzanpassungen vorgenommen. Insgesamt gibt es viele Bereiche, die bereits eigenständig und ohne Diskussion ihre Beschäftigten angemessen ausstatten, sodass an vielen Stellen positive Praxisbeispiele bestehen.</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bCs/>
          <w:sz w:val="20"/>
          <w:szCs w:val="20"/>
          <w:u w:val="single"/>
        </w:rPr>
      </w:pPr>
      <w:r>
        <w:rPr>
          <w:rFonts w:eastAsia="Verdana" w:cs="Verdana" w:ascii="Verdana" w:hAnsi="Verdana"/>
          <w:bCs/>
          <w:sz w:val="20"/>
          <w:szCs w:val="20"/>
          <w:u w:val="single"/>
        </w:rPr>
        <w:t>Gleichberechtigte Teilhabe an Diskursen, Gremienarbeit und Veranstaltungen</w:t>
      </w:r>
    </w:p>
    <w:p>
      <w:pPr>
        <w:pStyle w:val="Normal"/>
        <w:jc w:val="both"/>
        <w:rPr>
          <w:rFonts w:ascii="Verdana" w:hAnsi="Verdana" w:cs="Verdana"/>
          <w:sz w:val="20"/>
          <w:szCs w:val="20"/>
        </w:rPr>
      </w:pPr>
      <w:r>
        <w:rPr>
          <w:rFonts w:eastAsia="Verdana" w:cs="Verdana" w:ascii="Verdana" w:hAnsi="Verdana"/>
          <w:sz w:val="20"/>
          <w:szCs w:val="20"/>
        </w:rPr>
        <w:t>An der HU wird bislang überwiegend im Einzelfall reagiert. Beschäftigte oder Studierende, die Unterstützung benötigen, bringen in der Regel selbst ihre Dolmetschenden oder Assistenzen mit, finanziert über Kostenträger. Eine systematische Unterstützung durch die Hochschule selbst gibt es nicht. Problematisch ist aber, dass strukturelle Hindernisse bleiben: Wenn Sitzungstermine kurzfristig geändert werden, können Menschen mit Dolmetschung oder Assistenz oft nicht mehr teilnehmen, da ihre Begleitung nicht verfügbar ist. Ebenso fehlt es häufig daran, dass Dolmetschende rechtzeitig mit Unterlagen versorgt werden, um sich auf die Gremienarbeit vorzubereiten. Auch für sehbehinderte Menschen gibt es organisatorische Hürden: Wer mit elektronischer Lupe, großem Papier oder anderen Hilfsmitteln arbeitet, braucht einen geeigneten Platz mit Tisch im Raum. Oft werden solche Plätze nicht mitgedacht, oder sie sind so exponiert, dass Betroffene sich unwohl fühlen.</w:t>
      </w:r>
    </w:p>
    <w:p>
      <w:pPr>
        <w:pStyle w:val="Normal"/>
        <w:widowControl/>
        <w:rPr>
          <w:rFonts w:ascii="Verdana" w:hAnsi="Verdana" w:eastAsia="Times New Roman" w:cs="Arial"/>
          <w:sz w:val="20"/>
          <w:szCs w:val="20"/>
          <w:lang w:eastAsia="de-DE" w:bidi="ar-SA"/>
        </w:rPr>
      </w:pPr>
      <w:r>
        <w:rPr>
          <w:rFonts w:eastAsia="Times New Roman" w:cs="Arial" w:ascii="Verdana" w:hAnsi="Verdana"/>
          <w:sz w:val="20"/>
          <w:szCs w:val="20"/>
          <w:lang w:eastAsia="de-DE" w:bidi="ar-SA"/>
        </w:rPr>
      </w:r>
      <w:r>
        <w:br w:type="page"/>
      </w:r>
    </w:p>
    <w:p>
      <w:pPr>
        <w:pStyle w:val="NormalWeb"/>
        <w:spacing w:beforeAutospacing="0" w:before="0" w:afterAutospacing="0" w:after="0"/>
        <w:jc w:val="both"/>
        <w:rPr>
          <w:rFonts w:ascii="Verdana" w:hAnsi="Verdana" w:cs="Arial"/>
          <w:sz w:val="20"/>
          <w:szCs w:val="20"/>
        </w:rPr>
      </w:pPr>
      <w:r>
        <w:rPr>
          <w:rFonts w:cs="Arial" w:ascii="Verdana" w:hAnsi="Verdana"/>
          <w:sz w:val="20"/>
          <w:szCs w:val="20"/>
        </w:rPr>
      </w:r>
    </w:p>
    <w:p>
      <w:pPr>
        <w:pStyle w:val="Normal"/>
        <w:jc w:val="both"/>
        <w:rPr>
          <w:rFonts w:ascii="Verdana" w:hAnsi="Verdana"/>
          <w:b/>
        </w:rPr>
      </w:pPr>
      <w:r>
        <w:rPr>
          <w:rFonts w:ascii="Verdana" w:hAnsi="Verdana"/>
          <w:b/>
          <w:bCs/>
          <w:sz w:val="44"/>
          <w:szCs w:val="44"/>
        </w:rPr>
        <w:t>B</w:t>
      </w:r>
      <w:r>
        <w:rPr>
          <w:rFonts w:ascii="Verdana" w:hAnsi="Verdana"/>
          <w:b/>
          <w:sz w:val="20"/>
          <w:szCs w:val="20"/>
        </w:rPr>
        <w:t xml:space="preserve">EM-Verfahren: Entwicklungen und Ansprechpersonen </w:t>
      </w:r>
    </w:p>
    <w:p>
      <w:pPr>
        <w:pStyle w:val="Normal"/>
        <w:jc w:val="both"/>
        <w:rPr>
          <w:rFonts w:ascii="Verdana" w:hAnsi="Verdana"/>
          <w:sz w:val="20"/>
          <w:szCs w:val="20"/>
        </w:rPr>
      </w:pPr>
      <w:r>
        <w:rPr>
          <w:rFonts w:ascii="Verdana" w:hAnsi="Verdana"/>
          <w:sz w:val="20"/>
          <w:szCs w:val="20"/>
        </w:rPr>
        <w:t xml:space="preserve">Ein weiterer Baustein im Arbeits- und Gesundheitsschutz knüpft u.a. an die Rückkehr von </w:t>
      </w:r>
      <w:r>
        <w:rPr>
          <w:rFonts w:ascii="Verdana" w:hAnsi="Verdana"/>
          <w:b/>
          <w:sz w:val="20"/>
          <w:szCs w:val="20"/>
        </w:rPr>
        <w:t>Beschäftigen nach langer Krankheit</w:t>
      </w:r>
      <w:r>
        <w:rPr>
          <w:rFonts w:ascii="Verdana" w:hAnsi="Verdana"/>
          <w:sz w:val="20"/>
          <w:szCs w:val="20"/>
        </w:rPr>
        <w:t xml:space="preserve"> an. Hier hat der Gesetzgeber im § 167 Abs.2 SGB IX ein umfangreiches Verfahren für alle Beschäftigten – unabhängig von etwaiger bestehender oder drohender Schwerbehinderung – vorgeschrieben, das </w:t>
      </w:r>
      <w:r>
        <w:rPr>
          <w:rFonts w:ascii="Verdana" w:hAnsi="Verdana"/>
          <w:b/>
          <w:sz w:val="20"/>
          <w:szCs w:val="20"/>
        </w:rPr>
        <w:t>betriebliche Eingliederungsmanagement</w:t>
      </w:r>
      <w:r>
        <w:rPr>
          <w:rFonts w:ascii="Verdana" w:hAnsi="Verdana"/>
          <w:sz w:val="20"/>
          <w:szCs w:val="20"/>
        </w:rPr>
        <w:t xml:space="preserve">, kurz </w:t>
      </w:r>
      <w:r>
        <w:rPr>
          <w:rFonts w:ascii="Verdana" w:hAnsi="Verdana"/>
          <w:b/>
          <w:sz w:val="20"/>
          <w:szCs w:val="20"/>
        </w:rPr>
        <w:t>BEM</w:t>
      </w:r>
      <w:r>
        <w:rPr>
          <w:rFonts w:ascii="Verdana" w:hAnsi="Verdana"/>
          <w:sz w:val="20"/>
          <w:szCs w:val="20"/>
        </w:rPr>
        <w:t xml:space="preserve"> genannt. Die Humboldt-Universität zu Berlin hat dieses Verfahren zuletzt 2013 aktualisiert und in einem Leitfaden veröffentlicht. </w:t>
      </w:r>
    </w:p>
    <w:p>
      <w:pPr>
        <w:pStyle w:val="Normal"/>
        <w:jc w:val="both"/>
        <w:rPr>
          <w:rFonts w:ascii="Verdana" w:hAnsi="Verdana"/>
          <w:sz w:val="20"/>
          <w:szCs w:val="20"/>
        </w:rPr>
      </w:pPr>
      <w:r>
        <w:rPr>
          <w:rFonts w:ascii="Verdana" w:hAnsi="Verdana"/>
          <w:b/>
          <w:sz w:val="20"/>
          <w:szCs w:val="20"/>
        </w:rPr>
        <w:t>Dieses Verfahren den BEM-berechtigten Beschäftigten anzubieten, ist für die HU per Gesetz verpflichtend. Das Verfahren anzunehmen und/oder vollständig durchzuführen ist für die BEM-Berechtigten hingegen freiwillig.</w:t>
      </w:r>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t xml:space="preserve">Das aktuelle Verfahren ist wegen der personellen Veränderungen beim Arbeitgeber und beim Personalrat und der geänderten Gesetzeslage dringend anzupassen. Aktuell arbeiten Dienststelle und Gesamtpersonalrat mit Unterstützung des Personalrats des Hochschulbe-reichs an einer </w:t>
      </w:r>
      <w:r>
        <w:rPr>
          <w:rFonts w:ascii="Verdana" w:hAnsi="Verdana"/>
          <w:b/>
          <w:sz w:val="20"/>
          <w:szCs w:val="20"/>
        </w:rPr>
        <w:t>Dienstvereinbarung BEM</w:t>
      </w:r>
      <w:r>
        <w:rPr>
          <w:rFonts w:ascii="Verdana" w:hAnsi="Verdana"/>
          <w:sz w:val="20"/>
          <w:szCs w:val="20"/>
        </w:rPr>
        <w:t>, um gesetzliche Neuerungen und aktuelle Rechtsprechung für alle transparent darzustellen.</w:t>
      </w:r>
    </w:p>
    <w:p>
      <w:pPr>
        <w:pStyle w:val="Normal"/>
        <w:jc w:val="both"/>
        <w:rPr>
          <w:rFonts w:ascii="Verdana" w:hAnsi="Verdana"/>
          <w:sz w:val="20"/>
          <w:szCs w:val="20"/>
        </w:rPr>
      </w:pPr>
      <w:r>
        <w:rPr>
          <w:rFonts w:ascii="Verdana" w:hAnsi="Verdana"/>
          <w:sz w:val="20"/>
          <w:szCs w:val="20"/>
        </w:rPr>
        <w:t>Weiterhin geht es um die Ausgestaltung an der HU im BEM-Verfahren als gemeinsame Lösung zwischen Anspruch und Interessen der BEM-Berechtigten auf der einen Seite und Verpflichtung und dienstliche Bedarfe der Arbeitgeberseite auf der anderen Seite in einen abgestimmten Rahmen zu setzen.</w:t>
      </w:r>
    </w:p>
    <w:p>
      <w:pPr>
        <w:pStyle w:val="Normal"/>
        <w:jc w:val="both"/>
        <w:rPr>
          <w:rFonts w:ascii="Verdana" w:hAnsi="Verdana"/>
          <w:sz w:val="20"/>
          <w:szCs w:val="20"/>
        </w:rPr>
      </w:pPr>
      <w:r>
        <w:rPr>
          <w:rFonts w:ascii="Verdana" w:hAnsi="Verdana"/>
          <w:sz w:val="20"/>
          <w:szCs w:val="20"/>
        </w:rPr>
        <w:t xml:space="preserve">Im März 2024 übernahm Frau Lein die Aufgaben der </w:t>
      </w:r>
      <w:r>
        <w:rPr>
          <w:rFonts w:ascii="Verdana" w:hAnsi="Verdana"/>
          <w:b/>
          <w:sz w:val="20"/>
          <w:szCs w:val="20"/>
        </w:rPr>
        <w:t>Inklusionsbeauftragten der HU</w:t>
      </w:r>
      <w:r>
        <w:rPr>
          <w:rFonts w:ascii="Verdana" w:hAnsi="Verdana"/>
          <w:sz w:val="20"/>
          <w:szCs w:val="20"/>
        </w:rPr>
        <w:t>, zu denen auch das BEM-Verfahren gehört (</w:t>
      </w:r>
      <w:hyperlink r:id="rId12" w:tooltip="https://intranet.hu-berlin.de/pages/humboldt/apps/blog/gremien-vertretungen/view/447fdd0b-1063-4b25-920e-ff4e1dfabe68">
        <w:r>
          <w:rPr>
            <w:rStyle w:val="Style"/>
            <w:rFonts w:ascii="Verdana" w:hAnsi="Verdana"/>
            <w:sz w:val="20"/>
            <w:szCs w:val="20"/>
          </w:rPr>
          <w:t>https://hu.berlin/61465</w:t>
        </w:r>
      </w:hyperlink>
      <w:r>
        <w:rPr>
          <w:rFonts w:ascii="Verdana" w:hAnsi="Verdana"/>
          <w:sz w:val="20"/>
          <w:szCs w:val="20"/>
        </w:rPr>
        <w:t>).</w:t>
      </w:r>
    </w:p>
    <w:p>
      <w:pPr>
        <w:pStyle w:val="Normal"/>
        <w:jc w:val="both"/>
        <w:rPr>
          <w:rFonts w:ascii="Verdana" w:hAnsi="Verdana"/>
          <w:sz w:val="20"/>
          <w:szCs w:val="20"/>
        </w:rPr>
      </w:pPr>
      <w:r>
        <w:rPr>
          <w:rFonts w:ascii="Verdana" w:hAnsi="Verdana"/>
          <w:sz w:val="20"/>
          <w:szCs w:val="20"/>
        </w:rPr>
        <w:t xml:space="preserve">Auch der Personalrat hat im September 2024 neue Mitglieder für </w:t>
      </w:r>
      <w:r>
        <w:rPr>
          <w:rFonts w:ascii="Verdana" w:hAnsi="Verdana"/>
          <w:b/>
          <w:sz w:val="20"/>
          <w:szCs w:val="20"/>
        </w:rPr>
        <w:t>das Integrations-Team</w:t>
      </w:r>
      <w:r>
        <w:rPr>
          <w:rFonts w:ascii="Verdana" w:hAnsi="Verdana"/>
          <w:sz w:val="20"/>
          <w:szCs w:val="20"/>
        </w:rPr>
        <w:t xml:space="preserve"> benannt. Im Gegensatz zur Inklusionsbeauftragten des Arbeitgebers handelt das Integrations-Team </w:t>
      </w:r>
      <w:r>
        <w:rPr>
          <w:rFonts w:ascii="Verdana" w:hAnsi="Verdana"/>
          <w:b/>
          <w:sz w:val="20"/>
          <w:szCs w:val="20"/>
        </w:rPr>
        <w:t>weisungsfrei</w:t>
      </w:r>
      <w:r>
        <w:rPr>
          <w:rFonts w:ascii="Verdana" w:hAnsi="Verdana"/>
          <w:sz w:val="20"/>
          <w:szCs w:val="20"/>
        </w:rPr>
        <w:t xml:space="preserve">. Dieses Team soll das betriebliche Eingliederungs-management des Arbeitgebers mitgestalten und BEM-Berechtigte beraten und im Prozess begleiten. </w:t>
      </w:r>
    </w:p>
    <w:p>
      <w:pPr>
        <w:pStyle w:val="Normal"/>
        <w:jc w:val="both"/>
        <w:rPr>
          <w:rFonts w:ascii="Verdana" w:hAnsi="Verdana"/>
          <w:sz w:val="20"/>
          <w:szCs w:val="20"/>
        </w:rPr>
      </w:pPr>
      <w:r>
        <w:rPr>
          <w:rFonts w:ascii="Verdana" w:hAnsi="Verdana"/>
          <w:sz w:val="20"/>
          <w:szCs w:val="20"/>
        </w:rPr>
        <w:t>Bitte zögern Sie nicht, den Personalrat bei Fragen frühzeitig zu kontaktieren, unabhängig davon, ob Sie als BEM-Berechtigte dieses Verfahren nutzen möchten oder nicht, sich vorab informieren wollen oder wenn in bereits laufenden Verfahren Fragen entstanden oder neue Maßnahmen erforderlich sind.</w:t>
      </w:r>
    </w:p>
    <w:p>
      <w:pPr>
        <w:pStyle w:val="Normal"/>
        <w:jc w:val="both"/>
        <w:rPr>
          <w:rFonts w:ascii="Verdana" w:hAnsi="Verdana"/>
          <w:sz w:val="20"/>
          <w:szCs w:val="20"/>
        </w:rPr>
      </w:pPr>
      <w:r>
        <w:rPr>
          <w:rFonts w:ascii="Verdana" w:hAnsi="Verdana"/>
          <w:sz w:val="20"/>
          <w:szCs w:val="20"/>
        </w:rPr>
        <w:t>Derzeit ist die HU auf dem Weg, Inklusion als Ziel voranzubringen. Der Personalrat begrüßt dieses Ziel. Er wünscht sich aber, dass auch die tatsächlichen Inhalte und die Aufgabenbeschreibung des Integrations-Teams dann zu diesem passen müssen.</w:t>
      </w:r>
    </w:p>
    <w:p>
      <w:pPr>
        <w:pStyle w:val="Normal"/>
        <w:jc w:val="both"/>
        <w:rPr>
          <w:rFonts w:ascii="Verdana" w:hAnsi="Verdana"/>
          <w:sz w:val="20"/>
          <w:szCs w:val="20"/>
        </w:rPr>
      </w:pPr>
      <w:r>
        <w:rPr>
          <w:rFonts w:ascii="Verdana" w:hAnsi="Verdana"/>
          <w:sz w:val="20"/>
          <w:szCs w:val="20"/>
        </w:rPr>
        <w:t>Um ihr Ziel zu erreichen, muss die Universität die hierfür die nötigen personellen und finanziellen Ressourcen zur Inklusion tatsächlich vorhalten. Hiervon sieht der Personalrat die HU leider noch weit entfernt. Der Personalrat würde diesen Paradigmenwechsel sehr begrüßen, da insbesondere keine personenbedingten Kündigungen mehr, sondern echte Inklusion erfolgen würde.</w:t>
      </w:r>
    </w:p>
    <w:p>
      <w:pPr>
        <w:pStyle w:val="NormalWeb"/>
        <w:spacing w:beforeAutospacing="0" w:before="0" w:afterAutospacing="0" w:after="0"/>
        <w:jc w:val="both"/>
        <w:rPr>
          <w:rFonts w:ascii="Verdana" w:hAnsi="Verdana" w:cs="Arial"/>
          <w:sz w:val="20"/>
          <w:szCs w:val="20"/>
        </w:rPr>
      </w:pPr>
      <w:r>
        <w:rPr>
          <w:rFonts w:cs="Arial" w:ascii="Verdana" w:hAnsi="Verdana"/>
          <w:sz w:val="20"/>
          <w:szCs w:val="20"/>
        </w:rPr>
      </w:r>
    </w:p>
    <w:p>
      <w:pPr>
        <w:pStyle w:val="Normal"/>
        <w:rPr>
          <w:rFonts w:ascii="Verdana" w:hAnsi="Verdana"/>
          <w:b/>
          <w:bCs/>
          <w:sz w:val="20"/>
          <w:szCs w:val="20"/>
        </w:rPr>
      </w:pPr>
      <w:r>
        <w:rPr>
          <w:rFonts w:ascii="Verdana" w:hAnsi="Verdana"/>
          <w:b/>
          <w:bCs/>
          <w:sz w:val="44"/>
          <w:szCs w:val="44"/>
        </w:rPr>
        <w:t>B</w:t>
      </w:r>
      <w:r>
        <w:rPr>
          <w:rFonts w:ascii="Verdana" w:hAnsi="Verdana"/>
          <w:b/>
          <w:bCs/>
          <w:sz w:val="20"/>
          <w:szCs w:val="20"/>
        </w:rPr>
        <w:t>eschreibung des Aufgabenkreises (BAK)</w:t>
      </w:r>
    </w:p>
    <w:p>
      <w:pPr>
        <w:pStyle w:val="Normal"/>
        <w:jc w:val="both"/>
        <w:rPr>
          <w:rFonts w:ascii="Verdana" w:hAnsi="Verdana"/>
          <w:sz w:val="20"/>
          <w:szCs w:val="20"/>
        </w:rPr>
      </w:pPr>
      <w:r>
        <w:rPr>
          <w:rFonts w:ascii="Verdana" w:hAnsi="Verdana"/>
          <w:sz w:val="20"/>
          <w:szCs w:val="20"/>
        </w:rPr>
        <w:t>Sie haben sicher schon gesehen, dass Ihr Arbeitsvertrag wenig Aussagen zu Ihrer genauen Arbeitsaufgaben macht. Deshalb gibt es für Ihre Stelle eine Beschreibung des Aufgabenkreises (BAK). Dies BAK beschreibt in Form von Arbeitsvorgängen und dazu aufgeführten Einzelaufgaben Ihre Verpflichtungen aus dem Arbeitsvertrag. Es ist daher wichtig, dass Sie den Inhalt der BAK kennen. Sie können Sie sich von der Geschäftsführung oder Abteilungsleitung Ihres Bereichs Ihre BAK aushändigen lassen. Werden Ihnen Aufgaben übertragen, die nicht in Ihrer BAK stehen, wenden Sie sich bitte an die Personalabteilung wegen der Überprüfung Ihrer Entgeltgruppe. Ihre aktuelle Eingruppierung wurde auf der Grundlage der BAK ermittelt. Die Personalabteilung muss deshalb prüfen, ob sich für Sie eine andere Eingruppierung ergibt. Denken Sie dabei bitte auch an die Geltendmachung des Differenzbetrages zu Ihrem aktuellen Gehalt (siehe Ausschlussfrist).</w:t>
      </w:r>
    </w:p>
    <w:p>
      <w:pPr>
        <w:pStyle w:val="Normal"/>
        <w:widowControl/>
        <w:rPr>
          <w:rFonts w:ascii="Verdana" w:hAnsi="Verdana" w:eastAsia="Times New Roman" w:cs="Arial"/>
          <w:sz w:val="20"/>
          <w:szCs w:val="20"/>
          <w:lang w:eastAsia="de-DE" w:bidi="ar-SA"/>
        </w:rPr>
      </w:pPr>
      <w:r>
        <w:rPr>
          <w:rFonts w:eastAsia="Times New Roman" w:cs="Arial" w:ascii="Verdana" w:hAnsi="Verdana"/>
          <w:sz w:val="20"/>
          <w:szCs w:val="20"/>
          <w:lang w:eastAsia="de-DE" w:bidi="ar-SA"/>
        </w:rPr>
      </w:r>
      <w:r>
        <w:br w:type="page"/>
      </w:r>
    </w:p>
    <w:p>
      <w:pPr>
        <w:pStyle w:val="NormalWeb"/>
        <w:spacing w:beforeAutospacing="0" w:before="0" w:afterAutospacing="0" w:after="0"/>
        <w:jc w:val="both"/>
        <w:rPr>
          <w:rFonts w:ascii="Verdana" w:hAnsi="Verdana" w:cs="Arial"/>
          <w:sz w:val="20"/>
          <w:szCs w:val="20"/>
        </w:rPr>
      </w:pPr>
      <w:r>
        <w:rPr>
          <w:rFonts w:cs="Arial" w:ascii="Verdana" w:hAnsi="Verdana"/>
          <w:sz w:val="20"/>
          <w:szCs w:val="20"/>
        </w:rPr>
      </w:r>
    </w:p>
    <w:p>
      <w:pPr>
        <w:pStyle w:val="Normal"/>
        <w:rPr>
          <w:rFonts w:ascii="Verdana" w:hAnsi="Verdana"/>
          <w:b/>
          <w:sz w:val="20"/>
          <w:szCs w:val="20"/>
        </w:rPr>
      </w:pPr>
      <w:r>
        <w:rPr>
          <w:rStyle w:val="hgkelc"/>
          <w:rFonts w:eastAsia="Verdana" w:cs="Verdana" w:ascii="Verdana" w:hAnsi="Verdana"/>
          <w:b/>
          <w:color w:themeColor="text1" w:val="000000"/>
          <w:sz w:val="44"/>
          <w:szCs w:val="44"/>
        </w:rPr>
        <w:t>B</w:t>
      </w:r>
      <w:r>
        <w:rPr>
          <w:rStyle w:val="hgkelc"/>
          <w:rFonts w:eastAsia="Verdana" w:cs="Verdana" w:ascii="Verdana" w:hAnsi="Verdana"/>
          <w:b/>
          <w:color w:themeColor="text1" w:val="000000"/>
          <w:sz w:val="20"/>
          <w:szCs w:val="20"/>
        </w:rPr>
        <w:t xml:space="preserve">ildungsurlaub </w:t>
      </w:r>
      <w:r>
        <w:rPr>
          <w:rStyle w:val="hgkelc"/>
          <w:rFonts w:eastAsia="Verdana" w:cs="Verdana" w:ascii="Verdana" w:hAnsi="Verdana"/>
          <w:b/>
          <w:sz w:val="20"/>
          <w:szCs w:val="20"/>
        </w:rPr>
        <w:t xml:space="preserve">- </w:t>
      </w:r>
      <w:r>
        <w:rPr>
          <w:rFonts w:ascii="Verdana" w:hAnsi="Verdana"/>
          <w:b/>
          <w:sz w:val="20"/>
          <w:szCs w:val="20"/>
        </w:rPr>
        <w:t>Berliner Bildungszeitgesetz (BiZeitG)</w:t>
      </w:r>
    </w:p>
    <w:p>
      <w:pPr>
        <w:pStyle w:val="Normal"/>
        <w:pBdr/>
        <w:jc w:val="both"/>
        <w:rPr>
          <w:rFonts w:ascii="Verdana" w:hAnsi="Verdana" w:cs="Verdana"/>
          <w:sz w:val="20"/>
          <w:szCs w:val="20"/>
        </w:rPr>
      </w:pPr>
      <w:r>
        <w:rPr>
          <w:rFonts w:eastAsia="Verdana" w:cs="Verdana" w:ascii="Verdana" w:hAnsi="Verdana"/>
          <w:sz w:val="20"/>
          <w:szCs w:val="20"/>
        </w:rPr>
        <w:t>Bildungsfreistellung (Bildungszeit) bezeichnet die bezahlte Freistellung von der Arbeit zur Teilnahme an anerkannten Weiterbildungsveranstaltungen. In Berlin haben Beschäftigte Anspruch auf fünf Arbeitstage pro Kalenderjahr; mit Zustimmung der Dienststelle können Ansprüche im Vorgriff mit dem Folgejahr zusammengefasst werden, sodass bis zu zehn Tage am Stück möglich sind. Nicht genutzte Tage werden nicht übertragen und verfallen am Jahresende. Der Anspruch entsteht erstmalig nach sechs Monaten Beschäftigungszeit an der HU.</w:t>
      </w:r>
    </w:p>
    <w:p>
      <w:pPr>
        <w:pStyle w:val="Normal"/>
        <w:pBdr/>
        <w:jc w:val="both"/>
        <w:rPr>
          <w:rStyle w:val="hgkelc"/>
          <w:rFonts w:ascii="Verdana" w:hAnsi="Verdana" w:cs="Verdana"/>
          <w:sz w:val="20"/>
          <w:szCs w:val="20"/>
        </w:rPr>
      </w:pPr>
      <w:r>
        <w:rPr>
          <w:rFonts w:eastAsia="Verdana" w:cs="Verdana" w:ascii="Verdana" w:hAnsi="Verdana"/>
          <w:sz w:val="20"/>
          <w:szCs w:val="20"/>
        </w:rPr>
        <w:t>Voraussetzung ist, dass die Veranstaltung nach dem Berliner Bildungszeitgesetz (BiZeitG) anerkannt ist; der Veranstaltungsort kann in Berlin, in einem anderen Bundesland oder im Ausland liegen. Während der Bildungszeit besteht Anspruch auf Entgeltfortzahlung; die Teilnahme erfolgt grundsätzlich während der Arbeitszeit. Die Kosten der Weiterbildung tragen in der Regel Sie selbst.</w:t>
      </w:r>
    </w:p>
    <w:p>
      <w:pPr>
        <w:pStyle w:val="Normal"/>
        <w:jc w:val="both"/>
        <w:rPr>
          <w:rStyle w:val="hgkelc"/>
          <w:rFonts w:ascii="Verdana" w:hAnsi="Verdana" w:eastAsia="Verdana" w:cs="Verdana"/>
          <w:sz w:val="20"/>
          <w:szCs w:val="20"/>
        </w:rPr>
      </w:pPr>
      <w:r>
        <w:rPr>
          <w:rFonts w:eastAsia="Verdana" w:cs="Verdana" w:ascii="Verdana" w:hAnsi="Verdana"/>
          <w:sz w:val="20"/>
          <w:szCs w:val="20"/>
        </w:rPr>
        <w:t xml:space="preserve">Bitte beantragen Sie die Bildungszeit spätestens sechs Wochen vor Beginn bei </w:t>
      </w:r>
      <w:r>
        <w:rPr>
          <w:rStyle w:val="hgkelc"/>
          <w:rFonts w:eastAsia="Verdana" w:cs="Verdana" w:ascii="Verdana" w:hAnsi="Verdana"/>
          <w:sz w:val="20"/>
          <w:szCs w:val="20"/>
        </w:rPr>
        <w:t>der Maßnahme bei der Beruflichen Weiterbildung:</w:t>
      </w:r>
    </w:p>
    <w:p>
      <w:pPr>
        <w:pStyle w:val="Normal"/>
        <w:jc w:val="both"/>
        <w:rPr>
          <w:rStyle w:val="hgkelc"/>
          <w:rFonts w:ascii="Verdana" w:hAnsi="Verdana" w:cs="Verdana"/>
          <w:sz w:val="20"/>
          <w:szCs w:val="20"/>
        </w:rPr>
      </w:pPr>
      <w:r>
        <w:rPr>
          <w:rStyle w:val="hgkelc"/>
          <w:rFonts w:eastAsia="Verdana" w:cs="Verdana" w:ascii="Verdana" w:hAnsi="Verdana"/>
          <w:sz w:val="20"/>
          <w:szCs w:val="20"/>
        </w:rPr>
        <w:t>(https://bwb.hu-berlin.de/downloads/Antrag_Bildungszeit_2023.pdf)</w:t>
      </w:r>
    </w:p>
    <w:p>
      <w:pPr>
        <w:pStyle w:val="NormalWeb"/>
        <w:spacing w:beforeAutospacing="0" w:before="0" w:afterAutospacing="0" w:after="0"/>
        <w:jc w:val="both"/>
        <w:rPr>
          <w:rFonts w:ascii="Verdana" w:hAnsi="Verdana" w:cs="Arial"/>
          <w:sz w:val="20"/>
          <w:szCs w:val="20"/>
        </w:rPr>
      </w:pPr>
      <w:r>
        <w:rPr>
          <w:rFonts w:cs="Arial" w:ascii="Verdana" w:hAnsi="Verdana"/>
          <w:sz w:val="20"/>
          <w:szCs w:val="20"/>
        </w:rPr>
      </w:r>
    </w:p>
    <w:p>
      <w:pPr>
        <w:pStyle w:val="Normal"/>
        <w:rPr>
          <w:rFonts w:ascii="Verdana" w:hAnsi="Verdana"/>
          <w:b/>
          <w:sz w:val="20"/>
          <w:szCs w:val="20"/>
        </w:rPr>
      </w:pPr>
      <w:r>
        <w:rPr>
          <w:rFonts w:ascii="Verdana" w:hAnsi="Verdana"/>
          <w:b/>
          <w:sz w:val="44"/>
          <w:szCs w:val="44"/>
        </w:rPr>
        <w:t>D</w:t>
      </w:r>
      <w:r>
        <w:rPr>
          <w:rFonts w:ascii="Verdana" w:hAnsi="Verdana"/>
          <w:b/>
          <w:sz w:val="20"/>
          <w:szCs w:val="20"/>
        </w:rPr>
        <w:t>atenschutz - Verschlüsselung von E-Mails</w:t>
      </w:r>
    </w:p>
    <w:p>
      <w:pPr>
        <w:pStyle w:val="Normal"/>
        <w:pBdr/>
        <w:jc w:val="both"/>
        <w:rPr>
          <w:rFonts w:ascii="Verdana" w:hAnsi="Verdana" w:cs="Verdana"/>
          <w:sz w:val="20"/>
          <w:szCs w:val="20"/>
        </w:rPr>
      </w:pPr>
      <w:r>
        <w:rPr>
          <w:rFonts w:eastAsia="Verdana" w:cs="Verdana" w:ascii="Verdana" w:hAnsi="Verdana"/>
          <w:color w:val="000000"/>
          <w:sz w:val="20"/>
          <w:szCs w:val="20"/>
        </w:rPr>
        <w:t>Im Zusammenhang mit der seit 2018 geltenden Datenschutz-Grundverordnung (DSGVO) versendet der Personalrat E-Mails, die personenbezogene Daten von Beschäftigten, Bewerberinnen und Bewerbern oder anderen Personen enthalten, ab sofort nur noch an E-Mail-Adressen, die über ein gültiges Verschlüsselungszertifikat verfügen. Dies gewährleistet eine geschützte und datenschutzkonforme elektronische Übermittlung. Die Regelung gilt ebenso für Antworten auf eingehende E-Mails, wenn diese personenbezogene Informationen enthalten.</w:t>
      </w:r>
    </w:p>
    <w:p>
      <w:pPr>
        <w:pStyle w:val="Normal"/>
        <w:pBdr/>
        <w:jc w:val="both"/>
        <w:rPr>
          <w:rFonts w:ascii="Verdana" w:hAnsi="Verdana" w:cs="Verdana"/>
          <w:sz w:val="20"/>
          <w:szCs w:val="20"/>
        </w:rPr>
      </w:pPr>
      <w:r>
        <w:rPr>
          <w:rFonts w:eastAsia="Verdana" w:cs="Verdana" w:ascii="Verdana" w:hAnsi="Verdana"/>
          <w:color w:val="000000"/>
          <w:sz w:val="20"/>
          <w:szCs w:val="20"/>
        </w:rPr>
        <w:t>Der Personalrat empfiehlt allen Beschäftigten, für ihre dienstlichen E-Mail-Accounts – einschließlich etwaig genutzter Funktionspostfächer – ein Verschlüsselungszertifikat zu beantragen. Weitere Informationen hierzu finden sich auf den Webseiten des Computer- und Medienservice (CMS).</w:t>
      </w:r>
    </w:p>
    <w:p>
      <w:pPr>
        <w:pStyle w:val="Normal"/>
        <w:pBdr/>
        <w:jc w:val="both"/>
        <w:rPr>
          <w:rFonts w:ascii="Verdana" w:hAnsi="Verdana" w:cs="Verdana"/>
          <w:sz w:val="20"/>
          <w:szCs w:val="20"/>
        </w:rPr>
      </w:pPr>
      <w:r>
        <w:rPr>
          <w:rFonts w:eastAsia="Verdana" w:cs="Verdana" w:ascii="Verdana" w:hAnsi="Verdana"/>
          <w:color w:val="000000"/>
          <w:sz w:val="20"/>
          <w:szCs w:val="20"/>
        </w:rPr>
        <w:t>Darüber hinaus gibt es Rückmeldungen von Beschäftigten, dass Vorgesetzte sie auffordern, ihre persönlichen E-Mail-Zugangsdaten (z. B. Passwörter) weiterzugeben, um Vertretungen zu ermöglichen. Hierbei ist zu beachten, dass die Weitergabe persönlicher Zugangsdaten aus datenschutzrechtlichen Gründen unzulässig ist. Der Zugriff auf dienstliche E-Mails durch andere Personen muss über entsprechende Funktionsaccounts organisiert werden.</w:t>
      </w:r>
    </w:p>
    <w:p>
      <w:pPr>
        <w:pStyle w:val="Normal"/>
        <w:pBdr/>
        <w:jc w:val="both"/>
        <w:rPr>
          <w:rFonts w:ascii="Verdana" w:hAnsi="Verdana" w:cs="Verdana"/>
          <w:sz w:val="20"/>
          <w:szCs w:val="20"/>
        </w:rPr>
      </w:pPr>
      <w:r>
        <w:rPr>
          <w:rFonts w:eastAsia="Verdana" w:cs="Verdana" w:ascii="Verdana" w:hAnsi="Verdana"/>
          <w:color w:val="000000"/>
          <w:sz w:val="20"/>
          <w:szCs w:val="20"/>
        </w:rPr>
        <w:t>Weiterhin ist in Bewerbungsverfahren auf den datenschutzkonformen Umgang mit Kontaktinformationen zu achten. Für die Kommunikation mit Bewerberinnen und Bewerbern dürfen ausschließlich die von diesen selbst angegebenen E-Mail-Adressen und Telefonnummern verwendet werden. Andere im Universitätskontext recherchierbare Kontaktdaten – etwa aus dem ZIS oder von öffentlichen Webseiten – dürfen nicht genutzt werden.</w:t>
      </w:r>
    </w:p>
    <w:p>
      <w:pPr>
        <w:pStyle w:val="Normal"/>
        <w:rPr>
          <w:rFonts w:ascii="Verdana" w:hAnsi="Verdana"/>
          <w:b/>
          <w:sz w:val="20"/>
          <w:szCs w:val="20"/>
        </w:rPr>
      </w:pPr>
      <w:r>
        <w:rPr>
          <w:rFonts w:ascii="Verdana" w:hAnsi="Verdana"/>
          <w:b/>
          <w:sz w:val="20"/>
          <w:szCs w:val="20"/>
        </w:rPr>
        <w:t>Etablierung von Löschfristen</w:t>
      </w:r>
    </w:p>
    <w:p>
      <w:pPr>
        <w:pStyle w:val="Normal"/>
        <w:pBdr/>
        <w:jc w:val="both"/>
        <w:rPr>
          <w:rFonts w:ascii="Verdana" w:hAnsi="Verdana" w:cs="Verdana"/>
          <w:sz w:val="20"/>
          <w:szCs w:val="20"/>
        </w:rPr>
      </w:pPr>
      <w:r>
        <w:rPr>
          <w:rFonts w:eastAsia="Verdana" w:cs="Verdana" w:ascii="Verdana" w:hAnsi="Verdana"/>
          <w:color w:val="000000"/>
          <w:sz w:val="20"/>
          <w:szCs w:val="20"/>
        </w:rPr>
        <w:t>Die DSGVO verpflichtet dazu, personenbezogene Daten zu löschen, sobald die rechtliche Grundlage für deren Speicherung entfällt – es sei denn, gesetzlich vorgeschriebene Aufbewahrungsfristen stehen dem entgegen. Daher ist es notwendig, ein System zur Erfassung, Dokumentation und Einhaltung von Löschfristen einzuführen und die regelmäßige Löschung der betreffenden Daten sicherzustellen.</w:t>
      </w:r>
    </w:p>
    <w:p>
      <w:pPr>
        <w:pStyle w:val="Normal"/>
        <w:pBdr/>
        <w:jc w:val="both"/>
        <w:rPr>
          <w:rFonts w:ascii="Verdana" w:hAnsi="Verdana" w:cs="Verdana"/>
          <w:sz w:val="20"/>
          <w:szCs w:val="20"/>
        </w:rPr>
      </w:pPr>
      <w:r>
        <w:rPr>
          <w:rFonts w:eastAsia="Verdana" w:cs="Verdana" w:ascii="Verdana" w:hAnsi="Verdana"/>
          <w:color w:val="000000"/>
          <w:sz w:val="20"/>
          <w:szCs w:val="20"/>
        </w:rPr>
        <w:t>Diese Pflicht zur Löschung betrifft auch personenbezogene Daten, die in den persönlichen digitalen Arbeitsbereichen von Beschäftigten gespeichert sind.</w:t>
      </w:r>
    </w:p>
    <w:p>
      <w:pPr>
        <w:pStyle w:val="Normal"/>
        <w:widowControl/>
        <w:rPr>
          <w:rFonts w:ascii="Verdana" w:hAnsi="Verdana" w:eastAsia="Times New Roman" w:cs="Arial"/>
          <w:sz w:val="20"/>
          <w:szCs w:val="20"/>
          <w:lang w:eastAsia="de-DE" w:bidi="ar-SA"/>
        </w:rPr>
      </w:pPr>
      <w:r>
        <w:rPr>
          <w:rFonts w:eastAsia="Times New Roman" w:cs="Arial" w:ascii="Verdana" w:hAnsi="Verdana"/>
          <w:sz w:val="20"/>
          <w:szCs w:val="20"/>
          <w:lang w:eastAsia="de-DE" w:bidi="ar-SA"/>
        </w:rPr>
      </w:r>
      <w:r>
        <w:br w:type="page"/>
      </w:r>
    </w:p>
    <w:p>
      <w:pPr>
        <w:pStyle w:val="NormalWeb"/>
        <w:spacing w:beforeAutospacing="0" w:before="0" w:afterAutospacing="0" w:after="0"/>
        <w:jc w:val="both"/>
        <w:rPr>
          <w:rFonts w:ascii="Verdana" w:hAnsi="Verdana" w:cs="Arial"/>
          <w:sz w:val="20"/>
          <w:szCs w:val="20"/>
        </w:rPr>
      </w:pPr>
      <w:r>
        <w:rPr>
          <w:rFonts w:cs="Arial" w:ascii="Verdana" w:hAnsi="Verdana"/>
          <w:sz w:val="20"/>
          <w:szCs w:val="20"/>
        </w:rPr>
      </w:r>
    </w:p>
    <w:p>
      <w:pPr>
        <w:pStyle w:val="Normal"/>
        <w:rPr>
          <w:rFonts w:ascii="Verdana" w:hAnsi="Verdana"/>
          <w:b/>
          <w:sz w:val="20"/>
          <w:szCs w:val="20"/>
        </w:rPr>
      </w:pPr>
      <w:r>
        <w:rPr>
          <w:rFonts w:ascii="Verdana" w:hAnsi="Verdana"/>
          <w:b/>
          <w:sz w:val="44"/>
          <w:szCs w:val="44"/>
        </w:rPr>
        <w:t>D</w:t>
      </w:r>
      <w:r>
        <w:rPr>
          <w:rFonts w:ascii="Verdana" w:hAnsi="Verdana"/>
          <w:b/>
          <w:sz w:val="20"/>
          <w:szCs w:val="20"/>
        </w:rPr>
        <w:t>igitalisierung und Künstliche Intelligenz – Einführung des EU</w:t>
      </w:r>
      <w:r>
        <w:rPr>
          <w:rFonts w:cs="Cambria Math" w:ascii="Cambria Math" w:hAnsi="Cambria Math"/>
          <w:b/>
          <w:sz w:val="20"/>
          <w:szCs w:val="20"/>
        </w:rPr>
        <w:noBreakHyphen/>
      </w:r>
      <w:r>
        <w:rPr>
          <w:rFonts w:ascii="Verdana" w:hAnsi="Verdana"/>
          <w:b/>
          <w:sz w:val="20"/>
          <w:szCs w:val="20"/>
        </w:rPr>
        <w:t>AI</w:t>
      </w:r>
      <w:r>
        <w:rPr>
          <w:rFonts w:cs="Cambria Math" w:ascii="Cambria Math" w:hAnsi="Cambria Math"/>
          <w:b/>
          <w:sz w:val="20"/>
          <w:szCs w:val="20"/>
        </w:rPr>
        <w:noBreakHyphen/>
      </w:r>
      <w:r>
        <w:rPr>
          <w:rFonts w:ascii="Verdana" w:hAnsi="Verdana"/>
          <w:b/>
          <w:sz w:val="20"/>
          <w:szCs w:val="20"/>
        </w:rPr>
        <w:t>Acts</w:t>
      </w:r>
    </w:p>
    <w:p>
      <w:pPr>
        <w:pStyle w:val="Normal"/>
        <w:pBdr/>
        <w:jc w:val="both"/>
        <w:rPr>
          <w:rFonts w:ascii="Verdana" w:hAnsi="Verdana" w:cs="Verdana"/>
          <w:sz w:val="20"/>
          <w:szCs w:val="20"/>
        </w:rPr>
      </w:pPr>
      <w:r>
        <w:rPr>
          <w:rFonts w:eastAsia="Verdana" w:cs="Verdana" w:ascii="Verdana" w:hAnsi="Verdana"/>
          <w:color w:val="000000"/>
          <w:sz w:val="20"/>
          <w:szCs w:val="20"/>
        </w:rPr>
        <w:t xml:space="preserve">Am </w:t>
      </w:r>
      <w:r>
        <w:rPr>
          <w:rFonts w:eastAsia="Verdana" w:cs="Verdana" w:ascii="Verdana" w:hAnsi="Verdana"/>
          <w:b/>
          <w:color w:val="000000"/>
          <w:sz w:val="20"/>
          <w:szCs w:val="20"/>
        </w:rPr>
        <w:t>1. August 2024</w:t>
      </w:r>
      <w:r>
        <w:rPr>
          <w:rFonts w:eastAsia="Verdana" w:cs="Verdana" w:ascii="Verdana" w:hAnsi="Verdana"/>
          <w:color w:val="000000"/>
          <w:sz w:val="20"/>
          <w:szCs w:val="20"/>
        </w:rPr>
        <w:t xml:space="preserve"> ist die europäische </w:t>
      </w:r>
      <w:r>
        <w:rPr>
          <w:rFonts w:eastAsia="Verdana" w:cs="Verdana" w:ascii="Verdana" w:hAnsi="Verdana"/>
          <w:b/>
          <w:color w:val="000000"/>
          <w:sz w:val="20"/>
          <w:szCs w:val="20"/>
        </w:rPr>
        <w:t>Verordnung über künstliche Intelligenz</w:t>
      </w:r>
      <w:r>
        <w:rPr>
          <w:rFonts w:eastAsia="Verdana" w:cs="Verdana" w:ascii="Verdana" w:hAnsi="Verdana"/>
          <w:color w:val="000000"/>
          <w:sz w:val="20"/>
          <w:szCs w:val="20"/>
        </w:rPr>
        <w:t xml:space="preserve"> (EU</w:t>
      </w:r>
      <w:r>
        <w:rPr>
          <w:rFonts w:eastAsia="Verdana" w:cs="Cambria Math" w:ascii="Cambria Math" w:hAnsi="Cambria Math"/>
          <w:color w:val="000000"/>
          <w:sz w:val="20"/>
          <w:szCs w:val="20"/>
        </w:rPr>
        <w:noBreakHyphen/>
      </w:r>
      <w:r>
        <w:rPr>
          <w:rFonts w:eastAsia="Verdana" w:cs="Verdana" w:ascii="Verdana" w:hAnsi="Verdana"/>
          <w:color w:val="000000"/>
          <w:sz w:val="20"/>
          <w:szCs w:val="20"/>
        </w:rPr>
        <w:t>AI</w:t>
      </w:r>
      <w:r>
        <w:rPr>
          <w:rFonts w:eastAsia="Verdana" w:cs="Cambria Math" w:ascii="Cambria Math" w:hAnsi="Cambria Math"/>
          <w:color w:val="000000"/>
          <w:sz w:val="20"/>
          <w:szCs w:val="20"/>
        </w:rPr>
        <w:noBreakHyphen/>
      </w:r>
      <w:r>
        <w:rPr>
          <w:rFonts w:eastAsia="Verdana" w:cs="Verdana" w:ascii="Verdana" w:hAnsi="Verdana"/>
          <w:color w:val="000000"/>
          <w:sz w:val="20"/>
          <w:szCs w:val="20"/>
        </w:rPr>
        <w:t>Act) in Kraft getreten. Sie regelt erstmals europaweit den Einsatz von Künstlicher Intelligenz (KI) in Verwaltung, Forschung, Wirtschaft und Bildung. Ziel ist es, Risiken durch KI-Systeme zu begrenzen, die Grundrechte zu wahren und Transparenz sicherzustellen.</w:t>
      </w:r>
    </w:p>
    <w:p>
      <w:pPr>
        <w:pStyle w:val="Normal"/>
        <w:pBdr/>
        <w:jc w:val="both"/>
        <w:rPr>
          <w:rFonts w:ascii="Verdana" w:hAnsi="Verdana" w:cs="Verdana"/>
          <w:sz w:val="20"/>
          <w:szCs w:val="20"/>
        </w:rPr>
      </w:pPr>
      <w:r>
        <w:rPr>
          <w:rFonts w:eastAsia="Verdana" w:cs="Verdana" w:ascii="Verdana" w:hAnsi="Verdana"/>
          <w:color w:val="000000"/>
          <w:sz w:val="20"/>
          <w:szCs w:val="20"/>
        </w:rPr>
        <w:t xml:space="preserve">Die Umsetzung der Verordnung erfolgt </w:t>
      </w:r>
      <w:r>
        <w:rPr>
          <w:rFonts w:eastAsia="Verdana" w:cs="Verdana" w:ascii="Verdana" w:hAnsi="Verdana"/>
          <w:b/>
          <w:color w:val="000000"/>
          <w:sz w:val="20"/>
          <w:szCs w:val="20"/>
        </w:rPr>
        <w:t>stufenweise</w:t>
      </w:r>
      <w:r>
        <w:rPr>
          <w:rFonts w:eastAsia="Verdana" w:cs="Verdana" w:ascii="Verdana" w:hAnsi="Verdana"/>
          <w:color w:val="000000"/>
          <w:sz w:val="20"/>
          <w:szCs w:val="20"/>
        </w:rPr>
        <w:t>. Dabei wird unterschieden nach dem Risiko, das ein KI-System für Menschen und Gesellschaft mit sich bringt:</w:t>
      </w:r>
    </w:p>
    <w:p>
      <w:pPr>
        <w:pStyle w:val="ListParagraph"/>
        <w:numPr>
          <w:ilvl w:val="0"/>
          <w:numId w:val="8"/>
        </w:numPr>
        <w:pBdr/>
        <w:spacing w:lineRule="auto" w:line="240" w:before="0" w:after="0"/>
        <w:contextualSpacing/>
        <w:jc w:val="both"/>
        <w:rPr>
          <w:rFonts w:ascii="Verdana" w:hAnsi="Verdana" w:cs="Verdana"/>
          <w:sz w:val="20"/>
          <w:szCs w:val="20"/>
        </w:rPr>
      </w:pPr>
      <w:r>
        <w:rPr>
          <w:rFonts w:eastAsia="Verdana" w:cs="Verdana" w:ascii="Verdana" w:hAnsi="Verdana"/>
          <w:b/>
          <w:color w:val="000000"/>
          <w:sz w:val="20"/>
          <w:szCs w:val="20"/>
        </w:rPr>
        <w:t>Unvertretbares Risiko</w:t>
      </w:r>
      <w:r>
        <w:rPr>
          <w:rFonts w:eastAsia="Verdana" w:cs="Verdana" w:ascii="Verdana" w:hAnsi="Verdana"/>
          <w:color w:val="000000"/>
          <w:sz w:val="20"/>
          <w:szCs w:val="20"/>
        </w:rPr>
        <w:t xml:space="preserve">: Anwendungen wie z. B. Social Scoring oder biometrische Emotionserkennung sind </w:t>
      </w:r>
      <w:r>
        <w:rPr>
          <w:rFonts w:eastAsia="Verdana" w:cs="Verdana" w:ascii="Verdana" w:hAnsi="Verdana"/>
          <w:b/>
          <w:color w:val="000000"/>
          <w:sz w:val="20"/>
          <w:szCs w:val="20"/>
        </w:rPr>
        <w:t>ab 2. August 2025</w:t>
      </w:r>
      <w:r>
        <w:rPr>
          <w:rFonts w:eastAsia="Verdana" w:cs="Verdana" w:ascii="Verdana" w:hAnsi="Verdana"/>
          <w:color w:val="000000"/>
          <w:sz w:val="20"/>
          <w:szCs w:val="20"/>
        </w:rPr>
        <w:t xml:space="preserve"> verboten.</w:t>
      </w:r>
    </w:p>
    <w:p>
      <w:pPr>
        <w:pStyle w:val="ListParagraph"/>
        <w:numPr>
          <w:ilvl w:val="0"/>
          <w:numId w:val="8"/>
        </w:numPr>
        <w:pBdr/>
        <w:spacing w:lineRule="auto" w:line="240" w:before="0" w:after="0"/>
        <w:contextualSpacing/>
        <w:jc w:val="both"/>
        <w:rPr>
          <w:rFonts w:ascii="Verdana" w:hAnsi="Verdana" w:cs="Verdana"/>
          <w:sz w:val="20"/>
          <w:szCs w:val="20"/>
        </w:rPr>
      </w:pPr>
      <w:r>
        <w:rPr>
          <w:rFonts w:eastAsia="Verdana" w:cs="Verdana" w:ascii="Verdana" w:hAnsi="Verdana"/>
          <w:b/>
          <w:color w:val="000000"/>
          <w:sz w:val="20"/>
          <w:szCs w:val="20"/>
        </w:rPr>
        <w:t>Hohes Risiko</w:t>
      </w:r>
      <w:r>
        <w:rPr>
          <w:rFonts w:eastAsia="Verdana" w:cs="Verdana" w:ascii="Verdana" w:hAnsi="Verdana"/>
          <w:color w:val="000000"/>
          <w:sz w:val="20"/>
          <w:szCs w:val="20"/>
        </w:rPr>
        <w:t xml:space="preserve">: KI-Systeme mit potenziell schwerwiegenden Auswirkungen – z. B. im Personalbereich, bei Zugangskontrollen oder Bewerbungsverfahren – unterliegen ab dem </w:t>
      </w:r>
      <w:r>
        <w:rPr>
          <w:rFonts w:eastAsia="Verdana" w:cs="Verdana" w:ascii="Verdana" w:hAnsi="Verdana"/>
          <w:b/>
          <w:color w:val="000000"/>
          <w:sz w:val="20"/>
          <w:szCs w:val="20"/>
        </w:rPr>
        <w:t>2. August 2026</w:t>
      </w:r>
      <w:r>
        <w:rPr>
          <w:rFonts w:eastAsia="Verdana" w:cs="Verdana" w:ascii="Verdana" w:hAnsi="Verdana"/>
          <w:color w:val="000000"/>
          <w:sz w:val="20"/>
          <w:szCs w:val="20"/>
        </w:rPr>
        <w:t xml:space="preserve"> strengen Transparenz- und Dokumentationspflichten. Auch der Personalrat muss eingebunden werden.</w:t>
      </w:r>
    </w:p>
    <w:p>
      <w:pPr>
        <w:pStyle w:val="ListParagraph"/>
        <w:numPr>
          <w:ilvl w:val="0"/>
          <w:numId w:val="8"/>
        </w:numPr>
        <w:pBdr/>
        <w:spacing w:lineRule="auto" w:line="240" w:before="0" w:after="0"/>
        <w:contextualSpacing/>
        <w:jc w:val="both"/>
        <w:rPr>
          <w:rFonts w:ascii="Verdana" w:hAnsi="Verdana" w:cs="Verdana"/>
          <w:sz w:val="20"/>
          <w:szCs w:val="20"/>
        </w:rPr>
      </w:pPr>
      <w:r>
        <w:rPr>
          <w:rFonts w:eastAsia="Verdana" w:cs="Verdana" w:ascii="Verdana" w:hAnsi="Verdana"/>
          <w:b/>
          <w:color w:val="000000"/>
          <w:sz w:val="20"/>
          <w:szCs w:val="20"/>
        </w:rPr>
        <w:t>Allgemeine KI-Systeme (GPAI)</w:t>
      </w:r>
      <w:r>
        <w:rPr>
          <w:rFonts w:eastAsia="Verdana" w:cs="Verdana" w:ascii="Verdana" w:hAnsi="Verdana"/>
          <w:color w:val="000000"/>
          <w:sz w:val="20"/>
          <w:szCs w:val="20"/>
        </w:rPr>
        <w:t xml:space="preserve">: Darunter fallen etwa große Sprachmodelle oder Bildgeneratoren, die für viele verschiedene Zwecke einsetzbar sind. Für diese Systeme gelten </w:t>
      </w:r>
      <w:r>
        <w:rPr>
          <w:rFonts w:eastAsia="Verdana" w:cs="Verdana" w:ascii="Verdana" w:hAnsi="Verdana"/>
          <w:b/>
          <w:color w:val="000000"/>
          <w:sz w:val="20"/>
          <w:szCs w:val="20"/>
        </w:rPr>
        <w:t>ab 2. August 2025</w:t>
      </w:r>
      <w:r>
        <w:rPr>
          <w:rFonts w:eastAsia="Verdana" w:cs="Verdana" w:ascii="Verdana" w:hAnsi="Verdana"/>
          <w:color w:val="000000"/>
          <w:sz w:val="20"/>
          <w:szCs w:val="20"/>
        </w:rPr>
        <w:t xml:space="preserve"> eigene Regeln, insbesondere zur Offenlegung technischer Informationen, Trainingsdaten und Urheberrechtsquellen.</w:t>
      </w:r>
    </w:p>
    <w:p>
      <w:pPr>
        <w:pStyle w:val="ListParagraph"/>
        <w:numPr>
          <w:ilvl w:val="0"/>
          <w:numId w:val="8"/>
        </w:numPr>
        <w:pBdr/>
        <w:spacing w:lineRule="auto" w:line="240" w:before="0" w:after="0"/>
        <w:contextualSpacing/>
        <w:jc w:val="both"/>
        <w:rPr>
          <w:rFonts w:ascii="Verdana" w:hAnsi="Verdana" w:cs="Verdana"/>
          <w:sz w:val="20"/>
          <w:szCs w:val="20"/>
        </w:rPr>
      </w:pPr>
      <w:r>
        <w:rPr>
          <w:rFonts w:eastAsia="Verdana" w:cs="Verdana" w:ascii="Verdana" w:hAnsi="Verdana"/>
          <w:b/>
          <w:color w:val="000000"/>
          <w:sz w:val="20"/>
          <w:szCs w:val="20"/>
        </w:rPr>
        <w:t>Geringes Risiko</w:t>
      </w:r>
      <w:r>
        <w:rPr>
          <w:rFonts w:eastAsia="Verdana" w:cs="Verdana" w:ascii="Verdana" w:hAnsi="Verdana"/>
          <w:color w:val="000000"/>
          <w:sz w:val="20"/>
          <w:szCs w:val="20"/>
        </w:rPr>
        <w:t>: KI-Tools mit eher unterstützendem Charakter (z. B. automatische Sortierungen oder einfache Chatbots) dürfen weiter eingesetzt werden. Nutzer:innen müssen jedoch informiert sein, dass sie mit einer KI interagieren.</w:t>
      </w:r>
    </w:p>
    <w:p>
      <w:pPr>
        <w:pStyle w:val="Normal"/>
        <w:widowControl/>
        <w:rPr>
          <w:rFonts w:ascii="Verdana" w:hAnsi="Verdana" w:eastAsia="Verdana" w:cs="Verdana"/>
          <w:color w:val="000000"/>
          <w:sz w:val="20"/>
          <w:szCs w:val="20"/>
        </w:rPr>
      </w:pPr>
      <w:r>
        <w:rPr>
          <w:rFonts w:eastAsia="Verdana" w:cs="Verdana" w:ascii="Verdana" w:hAnsi="Verdana"/>
          <w:color w:val="000000"/>
          <w:sz w:val="20"/>
          <w:szCs w:val="20"/>
        </w:rPr>
      </w:r>
    </w:p>
    <w:p>
      <w:pPr>
        <w:pStyle w:val="Normal"/>
        <w:pBdr/>
        <w:jc w:val="both"/>
        <w:rPr>
          <w:rFonts w:ascii="Verdana" w:hAnsi="Verdana" w:eastAsia="Verdana" w:cs="Verdana"/>
          <w:color w:val="000000"/>
          <w:sz w:val="20"/>
          <w:szCs w:val="20"/>
        </w:rPr>
      </w:pPr>
      <w:r>
        <w:rPr>
          <w:rFonts w:eastAsia="Verdana" w:cs="Verdana" w:ascii="Verdana" w:hAnsi="Verdana"/>
          <w:color w:val="000000"/>
          <w:sz w:val="20"/>
          <w:szCs w:val="20"/>
        </w:rPr>
        <w:t xml:space="preserve">Zusätzlich ist geplant, dass </w:t>
      </w:r>
      <w:r>
        <w:rPr>
          <w:rFonts w:eastAsia="Verdana" w:cs="Verdana" w:ascii="Verdana" w:hAnsi="Verdana"/>
          <w:b/>
          <w:color w:val="000000"/>
          <w:sz w:val="20"/>
          <w:szCs w:val="20"/>
        </w:rPr>
        <w:t>Beschäftigte, die mit KI-Systemen arbeiten oder über deren Einführung entscheiden</w:t>
      </w:r>
      <w:r>
        <w:rPr>
          <w:rFonts w:eastAsia="Verdana" w:cs="Verdana" w:ascii="Verdana" w:hAnsi="Verdana"/>
          <w:color w:val="000000"/>
          <w:sz w:val="20"/>
          <w:szCs w:val="20"/>
        </w:rPr>
        <w:t xml:space="preserve">, künftig über eine </w:t>
      </w:r>
      <w:r>
        <w:rPr>
          <w:rFonts w:eastAsia="Verdana" w:cs="Verdana" w:ascii="Verdana" w:hAnsi="Verdana"/>
          <w:b/>
          <w:color w:val="000000"/>
          <w:sz w:val="20"/>
          <w:szCs w:val="20"/>
        </w:rPr>
        <w:t>angemessene Qualifikation</w:t>
      </w:r>
      <w:r>
        <w:rPr>
          <w:rFonts w:eastAsia="Verdana" w:cs="Verdana" w:ascii="Verdana" w:hAnsi="Verdana"/>
          <w:color w:val="000000"/>
          <w:sz w:val="20"/>
          <w:szCs w:val="20"/>
        </w:rPr>
        <w:t xml:space="preserve"> (sogenannte „AI Literacy“) verfügen sollen. Ein verpflichtendes Datum hierfür ist in der Verordnung nicht festgelegt – es wird jedoch mit einer Orientierung an den Übergangsfristen gerechnet.</w:t>
      </w:r>
    </w:p>
    <w:p>
      <w:pPr>
        <w:pStyle w:val="Normal"/>
        <w:pBdr/>
        <w:jc w:val="both"/>
        <w:rPr>
          <w:rFonts w:ascii="Verdana" w:hAnsi="Verdana" w:eastAsia="Verdana" w:cs="Verdana"/>
          <w:color w:val="000000"/>
          <w:sz w:val="20"/>
          <w:szCs w:val="20"/>
        </w:rPr>
      </w:pPr>
      <w:r>
        <w:rPr>
          <w:rFonts w:eastAsia="Verdana" w:cs="Verdana" w:ascii="Verdana" w:hAnsi="Verdana"/>
          <w:color w:val="000000"/>
          <w:sz w:val="20"/>
          <w:szCs w:val="20"/>
        </w:rPr>
      </w:r>
    </w:p>
    <w:p>
      <w:pPr>
        <w:pStyle w:val="Normal"/>
        <w:rPr>
          <w:rFonts w:ascii="Verdana" w:hAnsi="Verdana"/>
          <w:b/>
          <w:sz w:val="20"/>
          <w:szCs w:val="20"/>
        </w:rPr>
      </w:pPr>
      <w:r>
        <w:rPr>
          <w:rFonts w:ascii="Verdana" w:hAnsi="Verdana"/>
          <w:b/>
          <w:sz w:val="20"/>
          <w:szCs w:val="20"/>
        </w:rPr>
        <w:t>Was bedeutet das für die Hochschule?</w:t>
      </w:r>
    </w:p>
    <w:p>
      <w:pPr>
        <w:pStyle w:val="ListParagraph"/>
        <w:numPr>
          <w:ilvl w:val="0"/>
          <w:numId w:val="9"/>
        </w:numPr>
        <w:pBdr/>
        <w:spacing w:lineRule="auto" w:line="240" w:before="0" w:after="0"/>
        <w:contextualSpacing/>
        <w:jc w:val="both"/>
        <w:rPr>
          <w:rFonts w:ascii="Verdana" w:hAnsi="Verdana" w:cs="Verdana"/>
          <w:sz w:val="20"/>
          <w:szCs w:val="20"/>
        </w:rPr>
      </w:pPr>
      <w:r>
        <w:rPr>
          <w:rFonts w:eastAsia="Verdana" w:cs="Verdana" w:ascii="Verdana" w:hAnsi="Verdana"/>
          <w:b/>
          <w:color w:val="000000"/>
          <w:sz w:val="20"/>
          <w:szCs w:val="20"/>
        </w:rPr>
        <w:t>Verbotene KI-Systeme</w:t>
      </w:r>
      <w:r>
        <w:rPr>
          <w:rFonts w:eastAsia="Verdana" w:cs="Verdana" w:ascii="Verdana" w:hAnsi="Verdana"/>
          <w:color w:val="000000"/>
          <w:sz w:val="20"/>
          <w:szCs w:val="20"/>
        </w:rPr>
        <w:t xml:space="preserve"> dürfen auch testweise nicht eingesetzt werden.</w:t>
      </w:r>
    </w:p>
    <w:p>
      <w:pPr>
        <w:pStyle w:val="ListParagraph"/>
        <w:numPr>
          <w:ilvl w:val="0"/>
          <w:numId w:val="9"/>
        </w:numPr>
        <w:pBdr/>
        <w:spacing w:lineRule="auto" w:line="240" w:before="0" w:after="0"/>
        <w:contextualSpacing/>
        <w:jc w:val="both"/>
        <w:rPr>
          <w:rFonts w:ascii="Verdana" w:hAnsi="Verdana" w:cs="Verdana"/>
          <w:sz w:val="20"/>
          <w:szCs w:val="20"/>
        </w:rPr>
      </w:pPr>
      <w:r>
        <w:rPr>
          <w:rFonts w:eastAsia="Verdana" w:cs="Verdana" w:ascii="Verdana" w:hAnsi="Verdana"/>
          <w:b/>
          <w:color w:val="000000"/>
          <w:sz w:val="20"/>
          <w:szCs w:val="20"/>
        </w:rPr>
        <w:t>Einsatz von Hochrisiko-KI</w:t>
      </w:r>
      <w:r>
        <w:rPr>
          <w:rFonts w:eastAsia="Verdana" w:cs="Verdana" w:ascii="Verdana" w:hAnsi="Verdana"/>
          <w:color w:val="000000"/>
          <w:sz w:val="20"/>
          <w:szCs w:val="20"/>
        </w:rPr>
        <w:t>, etwa zur automatisierten Auswahl von Bewerber:innen, erfordert frühzeitige Abstimmung mit Personalrat und Datenschutzbeauftragten.</w:t>
      </w:r>
    </w:p>
    <w:p>
      <w:pPr>
        <w:pStyle w:val="ListParagraph"/>
        <w:numPr>
          <w:ilvl w:val="0"/>
          <w:numId w:val="9"/>
        </w:numPr>
        <w:pBdr/>
        <w:spacing w:lineRule="auto" w:line="240" w:before="0" w:after="0"/>
        <w:contextualSpacing/>
        <w:jc w:val="both"/>
        <w:rPr>
          <w:rFonts w:ascii="Verdana" w:hAnsi="Verdana" w:cs="Verdana"/>
          <w:sz w:val="20"/>
          <w:szCs w:val="20"/>
        </w:rPr>
      </w:pPr>
      <w:r>
        <w:rPr>
          <w:rFonts w:eastAsia="Verdana" w:cs="Verdana" w:ascii="Verdana" w:hAnsi="Verdana"/>
          <w:b/>
          <w:color w:val="000000"/>
          <w:sz w:val="20"/>
          <w:szCs w:val="20"/>
        </w:rPr>
        <w:t>Allgemeine KI-Werkzeuge</w:t>
      </w:r>
      <w:r>
        <w:rPr>
          <w:rFonts w:eastAsia="Verdana" w:cs="Verdana" w:ascii="Verdana" w:hAnsi="Verdana"/>
          <w:color w:val="000000"/>
          <w:sz w:val="20"/>
          <w:szCs w:val="20"/>
        </w:rPr>
        <w:t xml:space="preserve"> wie Sprachmodelle dürfen unter bestimmten Bedingungen genutzt werden – es gelten dabei neue Transparenz- und Dokumentationspflichten.</w:t>
      </w:r>
    </w:p>
    <w:p>
      <w:pPr>
        <w:pStyle w:val="ListParagraph"/>
        <w:numPr>
          <w:ilvl w:val="0"/>
          <w:numId w:val="9"/>
        </w:numPr>
        <w:pBdr/>
        <w:spacing w:lineRule="auto" w:line="240" w:before="0" w:after="0"/>
        <w:contextualSpacing/>
        <w:jc w:val="both"/>
        <w:rPr>
          <w:rFonts w:ascii="Verdana" w:hAnsi="Verdana" w:eastAsia="Verdana" w:cs="Verdana"/>
          <w:color w:val="000000"/>
          <w:sz w:val="20"/>
          <w:szCs w:val="20"/>
        </w:rPr>
      </w:pPr>
      <w:r>
        <w:rPr>
          <w:rFonts w:eastAsia="Verdana" w:cs="Verdana" w:ascii="Verdana" w:hAnsi="Verdana"/>
          <w:b/>
          <w:color w:val="000000"/>
          <w:sz w:val="20"/>
          <w:szCs w:val="20"/>
        </w:rPr>
        <w:t>Beschäftigte müssen informiert und gegebenenfalls geschult werden</w:t>
      </w:r>
      <w:r>
        <w:rPr>
          <w:rFonts w:eastAsia="Verdana" w:cs="Verdana" w:ascii="Verdana" w:hAnsi="Verdana"/>
          <w:color w:val="000000"/>
          <w:sz w:val="20"/>
          <w:szCs w:val="20"/>
        </w:rPr>
        <w:t>, wenn neue KI-Anwendungen eingeführt werden.</w:t>
      </w:r>
    </w:p>
    <w:p>
      <w:pPr>
        <w:pStyle w:val="Normal"/>
        <w:widowControl/>
        <w:rPr>
          <w:rFonts w:ascii="Verdana" w:hAnsi="Verdana" w:eastAsia="Verdana" w:cs="Verdana"/>
          <w:color w:val="000000"/>
          <w:sz w:val="20"/>
          <w:szCs w:val="20"/>
          <w:lang w:eastAsia="en-US" w:bidi="ar-SA"/>
        </w:rPr>
      </w:pPr>
      <w:r>
        <w:rPr>
          <w:rFonts w:eastAsia="Verdana" w:cs="Verdana" w:ascii="Verdana" w:hAnsi="Verdana"/>
          <w:color w:val="000000"/>
          <w:sz w:val="20"/>
          <w:szCs w:val="20"/>
          <w:lang w:eastAsia="en-US" w:bidi="ar-SA"/>
        </w:rPr>
      </w:r>
      <w:r>
        <w:br w:type="page"/>
      </w:r>
    </w:p>
    <w:p>
      <w:pPr>
        <w:pStyle w:val="Normal"/>
        <w:spacing w:before="0" w:after="0"/>
        <w:rPr>
          <w:rFonts w:ascii="Verdana" w:hAnsi="Verdana"/>
          <w:b/>
          <w:sz w:val="20"/>
          <w:szCs w:val="20"/>
        </w:rPr>
      </w:pPr>
      <w:r>
        <w:rPr>
          <w:rFonts w:ascii="Verdana" w:hAnsi="Verdana"/>
          <w:b/>
          <w:sz w:val="44"/>
          <w:szCs w:val="44"/>
        </w:rPr>
        <w:t>F</w:t>
      </w:r>
      <w:r>
        <w:rPr>
          <w:rFonts w:ascii="Verdana" w:hAnsi="Verdana"/>
          <w:b/>
          <w:sz w:val="20"/>
          <w:szCs w:val="20"/>
        </w:rPr>
        <w:t>olgen des unterjährigen Ausscheidens auf die Jahressonderzahlung</w:t>
      </w:r>
    </w:p>
    <w:p>
      <w:pPr>
        <w:pStyle w:val="Normal"/>
        <w:pBdr/>
        <w:jc w:val="both"/>
        <w:rPr>
          <w:rFonts w:ascii="Verdana" w:hAnsi="Verdana" w:eastAsia="Verdana" w:cs="Verdana"/>
          <w:color w:val="000000"/>
          <w:sz w:val="20"/>
          <w:szCs w:val="20"/>
        </w:rPr>
      </w:pPr>
      <w:r>
        <w:rPr>
          <w:rFonts w:eastAsia="Verdana" w:cs="Verdana" w:ascii="Verdana" w:hAnsi="Verdana"/>
          <w:color w:val="000000"/>
          <w:sz w:val="20"/>
          <w:szCs w:val="20"/>
        </w:rPr>
      </w:r>
    </w:p>
    <w:p>
      <w:pPr>
        <w:pStyle w:val="Normal"/>
        <w:pBdr/>
        <w:jc w:val="both"/>
        <w:rPr>
          <w:rFonts w:ascii="Verdana" w:hAnsi="Verdana" w:eastAsia="Verdana" w:cs="Verdana"/>
          <w:color w:val="000000"/>
          <w:sz w:val="20"/>
          <w:szCs w:val="20"/>
        </w:rPr>
      </w:pPr>
      <w:r>
        <w:rPr>
          <w:rFonts w:eastAsia="Verdana" w:cs="Verdana" w:ascii="Verdana" w:hAnsi="Verdana"/>
          <w:color w:val="000000"/>
          <w:sz w:val="20"/>
          <w:szCs w:val="20"/>
        </w:rPr>
        <w:t>Im Normalfall wird die Jahressonderzahlung (JSZ) mit dem Tabellenentgelt für November ausgezahlt.</w:t>
      </w:r>
    </w:p>
    <w:p>
      <w:pPr>
        <w:pStyle w:val="Normal"/>
        <w:pBdr/>
        <w:jc w:val="both"/>
        <w:rPr>
          <w:rFonts w:ascii="Verdana" w:hAnsi="Verdana" w:cs="Verdana"/>
          <w:sz w:val="20"/>
          <w:szCs w:val="20"/>
        </w:rPr>
      </w:pPr>
      <w:r>
        <w:rPr>
          <w:rFonts w:cs="Verdana" w:ascii="Verdana" w:hAnsi="Verdana"/>
          <w:sz w:val="20"/>
          <w:szCs w:val="20"/>
        </w:rPr>
      </w:r>
    </w:p>
    <w:p>
      <w:pPr>
        <w:pStyle w:val="Normal"/>
        <w:pBdr/>
        <w:jc w:val="both"/>
        <w:rPr>
          <w:rFonts w:ascii="Verdana" w:hAnsi="Verdana" w:eastAsia="Verdana" w:cs="Verdana"/>
          <w:sz w:val="20"/>
          <w:szCs w:val="20"/>
        </w:rPr>
      </w:pPr>
      <w:r>
        <w:rPr>
          <w:rFonts w:eastAsia="Verdana" w:cs="Verdana" w:ascii="Verdana" w:hAnsi="Verdana"/>
          <w:color w:val="000000"/>
          <w:sz w:val="20"/>
          <w:szCs w:val="20"/>
        </w:rPr>
        <w:t xml:space="preserve">Der TV-L regelt Anspruch, Berechnung, Kürzung und Auszahlung der JSZ in § 20 TV-L. Anspruch besteht, wenn am 1. Dezember des Jahres ein Arbeitsverhältnis besteht („Stichtag 01.12.“). Scheidet man vor dem 01.12. aus, besteht kein Anspruch – auch nicht anteilig. Maßgeblich ist der rechtliche Bestand des Arbeitsverhältnisses am Stichtag. </w:t>
      </w:r>
    </w:p>
    <w:p>
      <w:pPr>
        <w:pStyle w:val="Normal"/>
        <w:pBdr/>
        <w:jc w:val="both"/>
        <w:rPr>
          <w:rFonts w:ascii="Verdana" w:hAnsi="Verdana" w:cs="Verdana"/>
          <w:sz w:val="20"/>
          <w:szCs w:val="20"/>
        </w:rPr>
      </w:pPr>
      <w:r>
        <w:rPr>
          <w:rFonts w:cs="Verdana" w:ascii="Verdana" w:hAnsi="Verdana"/>
          <w:sz w:val="20"/>
          <w:szCs w:val="20"/>
        </w:rPr>
      </w:r>
    </w:p>
    <w:p>
      <w:pPr>
        <w:pStyle w:val="Normal"/>
        <w:pBdr/>
        <w:jc w:val="both"/>
        <w:rPr>
          <w:rFonts w:ascii="Verdana" w:hAnsi="Verdana" w:eastAsia="Verdana" w:cs="Verdana"/>
          <w:sz w:val="20"/>
          <w:szCs w:val="20"/>
        </w:rPr>
      </w:pPr>
      <w:r>
        <w:rPr>
          <w:rFonts w:eastAsia="Verdana" w:cs="Verdana" w:ascii="Verdana" w:hAnsi="Verdana"/>
          <w:color w:val="000000"/>
          <w:sz w:val="20"/>
          <w:szCs w:val="20"/>
        </w:rPr>
        <w:t xml:space="preserve">Keine Rückzahlung bei Austritt im Folgejahr (z. B. Q1): Der TV-L enthält keine Bindefrist bis 31.03. oder eine Rückforderungsklausel für die bereits gezahlte JSZ; einzige Tatbestandsvoraussetzung ist das Bestehen am 01.12. (anders war es früher etwa im BAT). </w:t>
      </w:r>
    </w:p>
    <w:p>
      <w:pPr>
        <w:pStyle w:val="Normal"/>
        <w:pBdr/>
        <w:jc w:val="both"/>
        <w:rPr>
          <w:rFonts w:ascii="Verdana" w:hAnsi="Verdana" w:cs="Verdana"/>
          <w:sz w:val="20"/>
          <w:szCs w:val="20"/>
        </w:rPr>
      </w:pPr>
      <w:r>
        <w:rPr>
          <w:rFonts w:cs="Verdana" w:ascii="Verdana" w:hAnsi="Verdana"/>
          <w:sz w:val="20"/>
          <w:szCs w:val="20"/>
        </w:rPr>
      </w:r>
    </w:p>
    <w:p>
      <w:pPr>
        <w:pStyle w:val="Normal"/>
        <w:pBdr/>
        <w:jc w:val="both"/>
        <w:rPr>
          <w:rFonts w:ascii="Verdana" w:hAnsi="Verdana" w:eastAsia="Verdana" w:cs="Verdana"/>
          <w:color w:val="000000"/>
          <w:sz w:val="20"/>
          <w:szCs w:val="20"/>
        </w:rPr>
      </w:pPr>
      <w:r>
        <w:rPr>
          <w:rFonts w:eastAsia="Verdana" w:cs="Verdana" w:ascii="Verdana" w:hAnsi="Verdana"/>
          <w:color w:val="000000"/>
          <w:sz w:val="20"/>
          <w:szCs w:val="20"/>
        </w:rPr>
        <w:t xml:space="preserve">Bemessungsgrundlage &amp; Stichtage für die Höhe: Grundlage ist das durchschnittlich gezahlte Entgelt der Monate Juli, August, September; der Bemessungssatz richtet sich nach der Entgeltgruppe am 01.09. Beginnt das Arbeitsverhältnis nach dem 31.08., tritt an die Stelle des Dreimonatszeitraums der erste volle Kalendermonat; maßgeblich ist dann die Entgeltgruppe am Einstellungstag. </w:t>
      </w:r>
    </w:p>
    <w:p>
      <w:pPr>
        <w:pStyle w:val="Normal"/>
        <w:pBdr/>
        <w:jc w:val="both"/>
        <w:rPr>
          <w:rFonts w:ascii="Verdana" w:hAnsi="Verdana" w:cs="Verdana"/>
          <w:sz w:val="20"/>
          <w:szCs w:val="20"/>
        </w:rPr>
      </w:pPr>
      <w:r>
        <w:rPr>
          <w:rFonts w:cs="Verdana" w:ascii="Verdana" w:hAnsi="Verdana"/>
          <w:sz w:val="20"/>
          <w:szCs w:val="20"/>
        </w:rPr>
      </w:r>
    </w:p>
    <w:p>
      <w:pPr>
        <w:pStyle w:val="Normal"/>
        <w:pBdr/>
        <w:jc w:val="both"/>
        <w:rPr>
          <w:rFonts w:ascii="Verdana" w:hAnsi="Verdana" w:eastAsia="Verdana" w:cs="Verdana"/>
          <w:color w:val="000000"/>
          <w:sz w:val="20"/>
          <w:szCs w:val="20"/>
        </w:rPr>
      </w:pPr>
      <w:r>
        <w:rPr>
          <w:rFonts w:eastAsia="Verdana" w:cs="Verdana" w:ascii="Verdana" w:hAnsi="Verdana"/>
          <w:color w:val="000000"/>
          <w:sz w:val="20"/>
          <w:szCs w:val="20"/>
        </w:rPr>
        <w:t xml:space="preserve">Kürzung (Zwölftelung): Die JSZ vermindert sich um 1/12 je Kalendermonat, in dem kein Anspruch auf Entgelt oder Entgeltfortzahlung (§ 21 TV-L) bestand. Keine Kürzung in Monaten mit Beschäftigungsverboten nach MuSchG, bei Elternzeit im Geburtsjahr (bei Entgeltanspruch am Tag vor Beginn) sowie bei Krankengeldzuschuss. </w:t>
      </w:r>
    </w:p>
    <w:p>
      <w:pPr>
        <w:pStyle w:val="Normal"/>
        <w:pBdr/>
        <w:jc w:val="both"/>
        <w:rPr>
          <w:rFonts w:ascii="Verdana" w:hAnsi="Verdana" w:cs="Verdana"/>
          <w:sz w:val="20"/>
          <w:szCs w:val="20"/>
        </w:rPr>
      </w:pPr>
      <w:r>
        <w:rPr>
          <w:rFonts w:cs="Verdana" w:ascii="Verdana" w:hAnsi="Verdana"/>
          <w:sz w:val="20"/>
          <w:szCs w:val="20"/>
        </w:rPr>
      </w:r>
    </w:p>
    <w:p>
      <w:pPr>
        <w:pStyle w:val="Normal"/>
        <w:pBdr/>
        <w:jc w:val="both"/>
        <w:rPr>
          <w:rFonts w:ascii="Verdana" w:hAnsi="Verdana" w:cs="Verdana"/>
          <w:sz w:val="20"/>
          <w:szCs w:val="20"/>
        </w:rPr>
      </w:pPr>
      <w:r>
        <w:rPr>
          <w:rFonts w:eastAsia="Verdana" w:cs="Verdana" w:ascii="Verdana" w:hAnsi="Verdana"/>
          <w:color w:val="000000"/>
          <w:sz w:val="20"/>
          <w:szCs w:val="20"/>
        </w:rPr>
        <w:t xml:space="preserve">Ruhendes Arbeitsverhältnis am 01.12.: Entscheidend ist der rechtliche Bestand. Auch bei ruhendem AV (z. B. Elternzeit/Sonderurlaub) kann der Anspruch bestehen; die Kürzungsregeln sind gesondert zu beachten. </w:t>
      </w:r>
    </w:p>
    <w:p>
      <w:pPr>
        <w:pStyle w:val="Normal"/>
        <w:pBdr/>
        <w:jc w:val="both"/>
        <w:rPr>
          <w:rFonts w:ascii="Verdana" w:hAnsi="Verdana" w:cs="Verdana"/>
          <w:sz w:val="20"/>
          <w:szCs w:val="20"/>
        </w:rPr>
      </w:pPr>
      <w:r>
        <w:rPr>
          <w:rFonts w:cs="Verdana" w:ascii="Verdana" w:hAnsi="Verdana"/>
          <w:sz w:val="20"/>
          <w:szCs w:val="20"/>
        </w:rPr>
      </w:r>
    </w:p>
    <w:p>
      <w:pPr>
        <w:pStyle w:val="docdata"/>
        <w:widowControl w:val="false"/>
        <w:spacing w:beforeAutospacing="0" w:before="0" w:afterAutospacing="0" w:after="0"/>
        <w:jc w:val="both"/>
        <w:rPr>
          <w:rFonts w:ascii="Verdana" w:hAnsi="Verdana"/>
        </w:rPr>
      </w:pPr>
      <w:r>
        <w:rPr>
          <w:rFonts w:ascii="Verdana" w:hAnsi="Verdana"/>
          <w:b/>
          <w:bCs/>
          <w:color w:val="000000"/>
          <w:sz w:val="44"/>
          <w:szCs w:val="44"/>
        </w:rPr>
        <w:t>K</w:t>
      </w:r>
      <w:r>
        <w:rPr>
          <w:rFonts w:ascii="Verdana" w:hAnsi="Verdana"/>
          <w:b/>
          <w:bCs/>
          <w:color w:val="000000"/>
          <w:sz w:val="20"/>
          <w:szCs w:val="20"/>
        </w:rPr>
        <w:t>onfliktberatung</w:t>
      </w:r>
    </w:p>
    <w:p>
      <w:pPr>
        <w:pStyle w:val="Normal"/>
        <w:jc w:val="both"/>
        <w:rPr>
          <w:rFonts w:ascii="Verdana" w:hAnsi="Verdana"/>
          <w:sz w:val="20"/>
          <w:szCs w:val="20"/>
        </w:rPr>
      </w:pPr>
      <w:r>
        <w:rPr>
          <w:rFonts w:ascii="Verdana" w:hAnsi="Verdana"/>
          <w:sz w:val="20"/>
          <w:szCs w:val="20"/>
        </w:rPr>
        <w:t>Gegenwärtig gibt es an der HU drei bestellte Konfliktberaterinnen, die laut Dienstvereinbarung und Richtlinie der Universität für ein respektvolles Miteinander an der Humboldt-Universität zu Berlin (AMB 11//2014) „ungeachtet eines Amtes oder einer Funktion an der Humboldt-Universität zu Berlin zur Begleitung von Konflikten und ggf. für Mediationen zur Verfügung stehen. Sie sind neutral und in der Ausübung ihrer Tätigkeit weisungsungebunden.“</w:t>
      </w:r>
    </w:p>
    <w:p>
      <w:pPr>
        <w:pStyle w:val="Normal"/>
        <w:jc w:val="both"/>
        <w:rPr>
          <w:rFonts w:ascii="Verdana" w:hAnsi="Verdana"/>
          <w:sz w:val="20"/>
          <w:szCs w:val="20"/>
        </w:rPr>
      </w:pPr>
      <w:r>
        <w:rPr>
          <w:rFonts w:ascii="Verdana" w:hAnsi="Verdana"/>
          <w:sz w:val="20"/>
          <w:szCs w:val="20"/>
        </w:rPr>
        <w:t xml:space="preserve">Zu den Aufgaben der Konfliktberatung gehört die Beratung von Einzelpersonen bzw. die Vermittlung in Konfliktfällen zwischen den Konfliktparteien. Darüber hinaus vermittelt die Konfliktberatung der HU interne sowie externe Hilfsangebot wie z.B. Mediation mit dem Ziel der Konfliktregulierung, sofern diese nicht auf andrem Wege erreicht werden kann. </w:t>
      </w:r>
    </w:p>
    <w:p>
      <w:pPr>
        <w:pStyle w:val="Normal"/>
        <w:jc w:val="both"/>
        <w:rPr>
          <w:rFonts w:ascii="Verdana" w:hAnsi="Verdana"/>
          <w:sz w:val="20"/>
          <w:szCs w:val="20"/>
        </w:rPr>
      </w:pPr>
      <w:r>
        <w:rPr>
          <w:rFonts w:ascii="Verdana" w:hAnsi="Verdana"/>
          <w:sz w:val="20"/>
          <w:szCs w:val="20"/>
        </w:rPr>
        <w:t>Weitere Informationen und Kontaktmöglichkeiten zur Konfliktberatung an der HU finden Sie unter:</w:t>
      </w:r>
    </w:p>
    <w:p>
      <w:pPr>
        <w:pStyle w:val="Normal"/>
        <w:jc w:val="both"/>
        <w:rPr>
          <w:rFonts w:ascii="Verdana" w:hAnsi="Verdana"/>
          <w:sz w:val="20"/>
          <w:szCs w:val="20"/>
        </w:rPr>
      </w:pPr>
      <w:r>
        <w:rPr>
          <w:rFonts w:ascii="Verdana" w:hAnsi="Verdana"/>
          <w:sz w:val="20"/>
          <w:szCs w:val="20"/>
        </w:rPr>
        <w:t>https://www.hgm.hu-berlin.de/de/konfliktberatung</w:t>
      </w:r>
    </w:p>
    <w:p>
      <w:pPr>
        <w:pStyle w:val="Normal"/>
        <w:widowControl/>
        <w:rPr>
          <w:rFonts w:ascii="Verdana" w:hAnsi="Verdana" w:cs="Verdana"/>
          <w:sz w:val="20"/>
          <w:szCs w:val="20"/>
        </w:rPr>
      </w:pPr>
      <w:r>
        <w:rPr>
          <w:rFonts w:cs="Verdana" w:ascii="Verdana" w:hAnsi="Verdana"/>
          <w:sz w:val="20"/>
          <w:szCs w:val="20"/>
        </w:rPr>
      </w:r>
      <w:r>
        <w:br w:type="page"/>
      </w:r>
    </w:p>
    <w:p>
      <w:pPr>
        <w:pStyle w:val="Normal"/>
        <w:spacing w:before="0" w:after="0"/>
        <w:jc w:val="both"/>
        <w:rPr>
          <w:rFonts w:ascii="Verdana" w:hAnsi="Verdana"/>
          <w:b/>
          <w:bCs/>
          <w:sz w:val="20"/>
          <w:szCs w:val="20"/>
        </w:rPr>
      </w:pPr>
      <w:r>
        <w:rPr>
          <w:rFonts w:ascii="Verdana" w:hAnsi="Verdana"/>
          <w:b/>
          <w:bCs/>
          <w:sz w:val="44"/>
          <w:szCs w:val="44"/>
        </w:rPr>
        <w:t>L</w:t>
      </w:r>
      <w:r>
        <w:rPr>
          <w:rFonts w:ascii="Verdana" w:hAnsi="Verdana"/>
          <w:b/>
          <w:bCs/>
          <w:sz w:val="20"/>
          <w:szCs w:val="20"/>
        </w:rPr>
        <w:t>eitbild Lehre</w:t>
      </w:r>
    </w:p>
    <w:p>
      <w:pPr>
        <w:pStyle w:val="Normal"/>
        <w:jc w:val="both"/>
        <w:rPr>
          <w:rFonts w:ascii="Verdana" w:hAnsi="Verdana"/>
          <w:sz w:val="20"/>
          <w:szCs w:val="20"/>
        </w:rPr>
      </w:pPr>
      <w:bookmarkStart w:id="0" w:name="wpaicg-chat-message-14565"/>
      <w:bookmarkEnd w:id="0"/>
      <w:r>
        <w:rPr>
          <w:rFonts w:ascii="Verdana" w:hAnsi="Verdana"/>
          <w:sz w:val="20"/>
          <w:szCs w:val="20"/>
        </w:rPr>
        <w:t>Das Leitbild Lehre der Humboldt-Universität zu Berlin wurde im Dezember 2023 veröffentlicht und bildet eine wichtige Orientierungshilfe für die Gestaltung einer innovativen, individuellen und inklusiven Lehre. Es wurde in einem iterativen und partizipativen Prozess entwickelt, bei dem gemeinsame Standards, Qualitätsmerkmale und Ziele für die zukünftige Lehre an der Universität definiert wurden. Dabei ist das Leitbild kein starres Dokument, sondern ein lebendiges Papier, das regelmäßig überprüft und bei Bedarf angepasst wird, um den sich wandelnden Anforderungen gerecht zu werden.</w:t>
      </w:r>
    </w:p>
    <w:p>
      <w:pPr>
        <w:pStyle w:val="BodyText"/>
        <w:spacing w:lineRule="auto" w:line="240" w:before="0" w:after="0"/>
        <w:jc w:val="both"/>
        <w:rPr>
          <w:rFonts w:ascii="Verdana" w:hAnsi="Verdana"/>
          <w:sz w:val="20"/>
          <w:szCs w:val="20"/>
        </w:rPr>
      </w:pPr>
      <w:r>
        <w:rPr>
          <w:rFonts w:ascii="Verdana" w:hAnsi="Verdana"/>
          <w:sz w:val="20"/>
          <w:szCs w:val="20"/>
        </w:rPr>
        <w:t>Besonders in den letzten Jahren wurde deutlich, dass neue Herausforderungen die Notwendigkeit betonen, Lehre noch flexibler, digitaler und inklusiver zu gestalten. Im Rahmen der Zukunftswerkstatt des Bologna Labs sowie am Tag der Lehre werden Themen identifiziert, die die Umsetzung des Leitbildes konkret vorantreiben sollen. Darüber hinaus wurde die Arbeitsgruppe Qualitätsmanagement und Akkreditierung eingerichtet. Ihr Auftrag ist es, ein Konzept für das zukünftige Qualitätsmanagement in Lehre und Studium zu entwickeln. Dabei wird auch die gesamt-universitäre Abstimmung wichtiger Themen wie Evaluationen und die Beteiligung der Studierenden immer wieder in den Fokus gerückt, um eine transparente und verbindliche Qualitätssicherung zu gewährleisten.</w:t>
      </w:r>
    </w:p>
    <w:p>
      <w:pPr>
        <w:pStyle w:val="BodyText"/>
        <w:spacing w:lineRule="auto" w:line="240" w:before="0" w:after="0"/>
        <w:jc w:val="both"/>
        <w:rPr>
          <w:rFonts w:ascii="Verdana" w:hAnsi="Verdana"/>
          <w:sz w:val="20"/>
          <w:szCs w:val="20"/>
        </w:rPr>
      </w:pPr>
      <w:r>
        <w:rPr>
          <w:rFonts w:ascii="Verdana" w:hAnsi="Verdana"/>
          <w:sz w:val="20"/>
          <w:szCs w:val="20"/>
        </w:rPr>
        <w:t>Das Leitbild soll somit nicht nur Orientierung bieten, sondern auch aktiv gelebt werden, um die Lehre an der Humboldt-Universität kontinuierlich weiterzuentwickeln und an den Bedürfnissen aller Beteiligten auszurichten. Weitere Informationen unter:</w:t>
      </w:r>
    </w:p>
    <w:p>
      <w:pPr>
        <w:pStyle w:val="BodyText"/>
        <w:spacing w:lineRule="auto" w:line="240" w:before="0" w:after="0"/>
        <w:jc w:val="both"/>
        <w:rPr>
          <w:rFonts w:ascii="Verdana" w:hAnsi="Verdana"/>
          <w:sz w:val="20"/>
          <w:szCs w:val="20"/>
        </w:rPr>
      </w:pPr>
      <w:hyperlink r:id="rId13" w:tooltip="https://bolognalab.hu-berlin.de/de/leitbild-lehre">
        <w:r>
          <w:rPr>
            <w:rStyle w:val="Hyperlink"/>
            <w:rFonts w:eastAsia="Verdana" w:ascii="Verdana" w:hAnsi="Verdana"/>
            <w:color w:val="000000"/>
            <w:sz w:val="20"/>
            <w:szCs w:val="20"/>
            <w:u w:val="none"/>
          </w:rPr>
          <w:t>https://bolognalab.hu-berlin.de/de/leitbild-lehre</w:t>
        </w:r>
      </w:hyperlink>
    </w:p>
    <w:p>
      <w:pPr>
        <w:pStyle w:val="Normal"/>
        <w:pBdr/>
        <w:jc w:val="both"/>
        <w:rPr>
          <w:rFonts w:ascii="Verdana" w:hAnsi="Verdana" w:cs="Verdana"/>
          <w:sz w:val="20"/>
          <w:szCs w:val="20"/>
        </w:rPr>
      </w:pPr>
      <w:r>
        <w:rPr>
          <w:rFonts w:cs="Verdana" w:ascii="Verdana" w:hAnsi="Verdana"/>
          <w:sz w:val="20"/>
          <w:szCs w:val="20"/>
        </w:rPr>
      </w:r>
    </w:p>
    <w:p>
      <w:pPr>
        <w:pStyle w:val="Normal"/>
        <w:rPr>
          <w:rFonts w:ascii="Verdana" w:hAnsi="Verdana"/>
          <w:b/>
          <w:sz w:val="20"/>
          <w:szCs w:val="20"/>
        </w:rPr>
      </w:pPr>
      <w:r>
        <w:rPr>
          <w:rFonts w:ascii="Verdana" w:hAnsi="Verdana"/>
          <w:b/>
          <w:sz w:val="44"/>
          <w:szCs w:val="44"/>
        </w:rPr>
        <w:t>M</w:t>
      </w:r>
      <w:r>
        <w:rPr>
          <w:rFonts w:ascii="Verdana" w:hAnsi="Verdana"/>
          <w:b/>
          <w:sz w:val="20"/>
          <w:szCs w:val="20"/>
        </w:rPr>
        <w:t>achtmissbrauch</w:t>
      </w:r>
    </w:p>
    <w:p>
      <w:pPr>
        <w:pStyle w:val="Normal"/>
        <w:jc w:val="both"/>
        <w:rPr>
          <w:rFonts w:ascii="Verdana" w:hAnsi="Verdana"/>
          <w:sz w:val="20"/>
          <w:szCs w:val="20"/>
        </w:rPr>
      </w:pPr>
      <w:r>
        <w:rPr>
          <w:rFonts w:ascii="Verdana" w:hAnsi="Verdana"/>
          <w:sz w:val="20"/>
          <w:szCs w:val="20"/>
        </w:rPr>
        <w:t>Das Thema Machtmissbrauch ist einem ständigen Wandel unterworfen. Gesellschaftliche, politische und technologische Entwicklungen beeinflussen fortlaufend, wie Macht ausgeübt, wahrgenommen und hinterfragt wird. Daher kann an dieser Stelle nur ein erster Überblick gegeben werden, der zentrale Aspekte aufgreift, ohne den Anspruch auf Vollständigkeit zu erheben.</w:t>
      </w:r>
    </w:p>
    <w:p>
      <w:pPr>
        <w:pStyle w:val="Normal"/>
        <w:jc w:val="both"/>
        <w:rPr>
          <w:rFonts w:ascii="Verdana" w:hAnsi="Verdana"/>
          <w:sz w:val="20"/>
          <w:szCs w:val="20"/>
        </w:rPr>
      </w:pPr>
      <w:r>
        <w:rPr>
          <w:rFonts w:ascii="Verdana" w:hAnsi="Verdana"/>
          <w:sz w:val="20"/>
          <w:szCs w:val="20"/>
        </w:rPr>
        <w:t>Die Humboldt Universität sieht sich in der Verantwortung Strukturen, die Machtmissbrauch begünstigen zu erkennen, zu verstehen und abzubauen. Gerade im wissenschaftlichen Kontext bestehen Abhängigkeitsverhältnisse in fast allen Karrierestufen. Ebenso bestehen Abhängigkeitsverhältnisse in den wissenschaftsunterstützenden Bereichen aller Statusgruppen und Mitgliedern der Universität durch stark ausgeprägte hierarchische Strukturen.</w:t>
      </w:r>
    </w:p>
    <w:p>
      <w:pPr>
        <w:pStyle w:val="Normal"/>
        <w:jc w:val="both"/>
        <w:rPr>
          <w:rFonts w:ascii="Verdana" w:hAnsi="Verdana"/>
          <w:sz w:val="20"/>
          <w:szCs w:val="20"/>
        </w:rPr>
      </w:pPr>
      <w:r>
        <w:rPr>
          <w:rFonts w:ascii="Verdana" w:hAnsi="Verdana"/>
          <w:sz w:val="20"/>
          <w:szCs w:val="20"/>
        </w:rPr>
        <w:t xml:space="preserve">Diese Strukturen sind geeignet, Machtmissbrauch in unterschiedlichen Ausprägungen und systematisch zu ermöglichen, insbesondere wenn dieser Missbrauch auf eine Kultur der Angst und Duldung bei gleichzeitig fehlenden Sanktionsmöglichkeiten oder fehlendem Sanktionswillen trifft. Ziel ist es transparente Strukturen auf allen Ebenen zu schaffen, die sich mit dem Thema inhaltlich auseinandersetzen, um nachhaltige Abhilfe zu schaffen. Die bisher etablierten Strukturen an der Humboldt-Universität beinhalten verschiedene Anlaufstellen mit unterschiedlichen Gestaltungsspielräumen. Die Betroffenen entscheiden dabei selbst, an wen Sie sich -mit dem Einverständnis zur Offenlegung des eigenen Namens oder unter Wahrung der Anonymität- wenden. </w:t>
      </w:r>
    </w:p>
    <w:p>
      <w:pPr>
        <w:pStyle w:val="Normal"/>
        <w:pBdr/>
        <w:jc w:val="both"/>
        <w:rPr>
          <w:rFonts w:ascii="Verdana" w:hAnsi="Verdana"/>
          <w:b/>
          <w:bCs/>
          <w:sz w:val="20"/>
          <w:szCs w:val="20"/>
        </w:rPr>
      </w:pPr>
      <w:r>
        <w:rPr>
          <w:rFonts w:ascii="Verdana" w:hAnsi="Verdana"/>
          <w:b/>
          <w:bCs/>
          <w:sz w:val="20"/>
          <w:szCs w:val="20"/>
        </w:rPr>
      </w:r>
    </w:p>
    <w:p>
      <w:pPr>
        <w:pStyle w:val="Normal"/>
        <w:widowControl/>
        <w:rPr>
          <w:rFonts w:ascii="Verdana" w:hAnsi="Verdana"/>
          <w:b/>
          <w:bCs/>
          <w:sz w:val="20"/>
          <w:szCs w:val="20"/>
        </w:rPr>
      </w:pPr>
      <w:r>
        <w:rPr>
          <w:rFonts w:ascii="Verdana" w:hAnsi="Verdana"/>
          <w:b/>
          <w:bCs/>
          <w:sz w:val="20"/>
          <w:szCs w:val="20"/>
        </w:rPr>
      </w:r>
      <w:r>
        <w:br w:type="page"/>
      </w:r>
    </w:p>
    <w:p>
      <w:pPr>
        <w:pStyle w:val="Normal"/>
        <w:pBdr/>
        <w:spacing w:before="0" w:after="0"/>
        <w:jc w:val="both"/>
        <w:rPr>
          <w:rFonts w:ascii="Verdana" w:hAnsi="Verdana"/>
          <w:b/>
          <w:bCs/>
          <w:sz w:val="20"/>
          <w:szCs w:val="20"/>
        </w:rPr>
      </w:pPr>
      <w:r>
        <w:rPr>
          <w:rFonts w:ascii="Verdana" w:hAnsi="Verdana"/>
          <w:b/>
          <w:bCs/>
          <w:sz w:val="20"/>
          <w:szCs w:val="20"/>
        </w:rPr>
        <w:t>Wo können sich Betroffene hinwenden?</w:t>
      </w:r>
    </w:p>
    <w:p>
      <w:pPr>
        <w:pStyle w:val="Normal"/>
        <w:pBdr/>
        <w:jc w:val="both"/>
        <w:rPr>
          <w:rFonts w:ascii="Verdana" w:hAnsi="Verdana"/>
          <w:sz w:val="20"/>
          <w:szCs w:val="20"/>
        </w:rPr>
      </w:pPr>
      <w:r>
        <w:rPr>
          <w:rFonts w:ascii="Verdana" w:hAnsi="Verdana"/>
          <w:sz w:val="20"/>
          <w:szCs w:val="20"/>
        </w:rPr>
        <w:t>Informationen zu den Anlaufstellen und Ansprechpartnern finden Sie hier:</w:t>
      </w:r>
    </w:p>
    <w:p>
      <w:pPr>
        <w:pStyle w:val="Normal"/>
        <w:pBdr/>
        <w:jc w:val="both"/>
        <w:rPr>
          <w:rFonts w:ascii="Verdana" w:hAnsi="Verdana" w:cs="Calibri"/>
          <w:sz w:val="20"/>
          <w:szCs w:val="20"/>
        </w:rPr>
      </w:pPr>
      <w:r>
        <w:rPr>
          <w:rFonts w:eastAsia="Calibri" w:cs="Calibri" w:ascii="Verdana" w:hAnsi="Verdana"/>
          <w:sz w:val="20"/>
          <w:szCs w:val="20"/>
        </w:rPr>
        <w:t xml:space="preserve">Die zentrale Frauen- und Gleichstellungsbeauftragten: </w:t>
      </w:r>
      <w:hyperlink r:id="rId14" w:tooltip="mailto:beratung.zfgb@hu-berlin.de">
        <w:r>
          <w:rPr>
            <w:rStyle w:val="Hyperlink"/>
            <w:rFonts w:eastAsia="Calibri" w:cs="Calibri" w:ascii="Verdana" w:hAnsi="Verdana"/>
            <w:color w:val="auto"/>
            <w:sz w:val="20"/>
            <w:szCs w:val="20"/>
            <w:u w:val="none"/>
          </w:rPr>
          <w:t>beratung.zfgb@hu-berlin.de</w:t>
        </w:r>
      </w:hyperlink>
      <w:r>
        <w:rPr>
          <w:rFonts w:eastAsia="Calibri" w:cs="Calibri" w:ascii="Verdana" w:hAnsi="Verdana"/>
          <w:sz w:val="20"/>
          <w:szCs w:val="20"/>
        </w:rPr>
        <w:t>, Zentrum Chancengerechtigkeit: kommission.konfliktpraevention@hu-berlin.de</w:t>
      </w:r>
    </w:p>
    <w:p>
      <w:pPr>
        <w:pStyle w:val="Normal"/>
        <w:jc w:val="both"/>
        <w:rPr>
          <w:rFonts w:ascii="Verdana" w:hAnsi="Verdana" w:cs="Calibri"/>
          <w:sz w:val="20"/>
          <w:szCs w:val="20"/>
        </w:rPr>
      </w:pPr>
      <w:r>
        <w:rPr>
          <w:rFonts w:eastAsia="Calibri" w:cs="Calibri" w:ascii="Verdana" w:hAnsi="Verdana"/>
          <w:sz w:val="20"/>
          <w:szCs w:val="20"/>
        </w:rPr>
        <w:t xml:space="preserve">Weitere Informationen finden Sie hier: </w:t>
      </w:r>
    </w:p>
    <w:p>
      <w:pPr>
        <w:pStyle w:val="Normal"/>
        <w:jc w:val="both"/>
        <w:rPr>
          <w:rFonts w:ascii="Verdana" w:hAnsi="Verdana" w:cs="Calibri"/>
          <w:sz w:val="20"/>
          <w:szCs w:val="20"/>
        </w:rPr>
      </w:pPr>
      <w:r>
        <w:rPr>
          <w:rFonts w:eastAsia="Calibri" w:cs="Calibri" w:ascii="Verdana" w:hAnsi="Verdana"/>
          <w:sz w:val="20"/>
          <w:szCs w:val="20"/>
        </w:rPr>
        <w:t>„</w:t>
      </w:r>
      <w:r>
        <w:rPr>
          <w:rFonts w:eastAsia="Calibri" w:cs="Calibri" w:ascii="Verdana" w:hAnsi="Verdana"/>
          <w:sz w:val="20"/>
          <w:szCs w:val="20"/>
        </w:rPr>
        <w:t xml:space="preserve">Satzung zum Schutz vor sexueller Belästigung, sexualisierter Diskriminierung und Gewalt sowie Stalking“ vom Februar 2025. </w:t>
      </w:r>
    </w:p>
    <w:p>
      <w:pPr>
        <w:pStyle w:val="Normal"/>
        <w:jc w:val="both"/>
        <w:rPr>
          <w:rFonts w:ascii="Verdana" w:hAnsi="Verdana" w:eastAsia="Calibri" w:cs="Calibri"/>
          <w:sz w:val="20"/>
          <w:szCs w:val="20"/>
        </w:rPr>
      </w:pPr>
      <w:hyperlink r:id="rId15" w:tooltip="https://gremien.hu-berlin.de/de/amb/2014/117/117_2014_RL und DV respektvolles Miteinander_DRUCK.pdf">
        <w:r>
          <w:rPr>
            <w:rStyle w:val="Hyperlink"/>
            <w:rFonts w:eastAsia="Calibri" w:cs="Calibri" w:ascii="Verdana" w:hAnsi="Verdana"/>
            <w:color w:val="auto"/>
            <w:sz w:val="20"/>
            <w:szCs w:val="20"/>
            <w:u w:val="none"/>
          </w:rPr>
          <w:t>https://gremien.hu-berlin.de/de/amb/2014/117/117_2014_RL%20und%20DV%20respektvolles%20Miteinander_DRUCK.pdf</w:t>
        </w:r>
        <w:r>
          <w:rPr>
            <w:rFonts w:eastAsia="Calibri" w:cs="Calibri" w:ascii="Verdana" w:hAnsi="Verdana"/>
            <w:sz w:val="20"/>
            <w:szCs w:val="20"/>
          </w:rPr>
          <w:br w:type="textWrapping" w:clear="all"/>
        </w:r>
      </w:hyperlink>
      <w:r>
        <w:rPr>
          <w:rFonts w:eastAsia="Calibri" w:cs="Calibri" w:ascii="Verdana" w:hAnsi="Verdana"/>
          <w:sz w:val="20"/>
          <w:szCs w:val="20"/>
        </w:rPr>
        <w:t>Bericht der Kommission zu Machtmissbrauch an der Philosophischen Fakultät</w:t>
      </w:r>
    </w:p>
    <w:p>
      <w:pPr>
        <w:pStyle w:val="Normal"/>
        <w:jc w:val="both"/>
        <w:rPr>
          <w:rFonts w:ascii="Verdana" w:hAnsi="Verdana" w:eastAsia="Calibri" w:cs="Calibri"/>
          <w:sz w:val="20"/>
          <w:szCs w:val="20"/>
        </w:rPr>
      </w:pPr>
      <w:hyperlink r:id="rId16" w:tooltip="https://fakultaeten.hu-berlin.de/de/philfak/informationen-zu-machtmissbrauch/beispiele-fur-machtmissbrauch.pdf">
        <w:r>
          <w:rPr>
            <w:rStyle w:val="Hyperlink"/>
            <w:rFonts w:eastAsia="Calibri" w:cs="Calibri" w:ascii="Verdana" w:hAnsi="Verdana"/>
            <w:color w:val="auto"/>
            <w:sz w:val="20"/>
            <w:szCs w:val="20"/>
            <w:u w:val="none"/>
          </w:rPr>
          <w:t>https://fakultaeten.hu-berlin.de/de/philfak/informationen-zu-machtmissbrauch/beispiele-fur-machtmissbrauch.pdf</w:t>
        </w:r>
      </w:hyperlink>
      <w:r>
        <w:rPr>
          <w:rFonts w:eastAsia="Calibri" w:cs="Calibri" w:ascii="Verdana" w:hAnsi="Verdana"/>
          <w:sz w:val="20"/>
          <w:szCs w:val="20"/>
        </w:rPr>
        <w:t xml:space="preserve"> </w:t>
        <w:br/>
        <w:br/>
      </w:r>
      <w:r>
        <w:rPr>
          <w:rFonts w:eastAsia="Calibri" w:cs="Calibri" w:ascii="Verdana" w:hAnsi="Verdana"/>
          <w:b/>
          <w:bCs/>
          <w:sz w:val="20"/>
          <w:szCs w:val="20"/>
        </w:rPr>
        <w:t>Fiktive Fallbeispiele und weitere Informationen</w:t>
      </w:r>
    </w:p>
    <w:p>
      <w:pPr>
        <w:pStyle w:val="Normal"/>
        <w:jc w:val="both"/>
        <w:rPr>
          <w:rFonts w:ascii="Verdana" w:hAnsi="Verdana" w:cs="Calibri"/>
          <w:sz w:val="20"/>
          <w:szCs w:val="20"/>
          <w:highlight w:val="yellow"/>
        </w:rPr>
      </w:pPr>
      <w:hyperlink r:id="rId17" w:tooltip="https://fakultaeten.hu-berlin.de/de/philfak/informationen-zu-machtmissbrauch/abschlussbericht-mamiko.pdf">
        <w:r>
          <w:rPr>
            <w:rStyle w:val="Hyperlink"/>
            <w:rFonts w:eastAsia="Calibri" w:cs="Calibri" w:ascii="Verdana" w:hAnsi="Verdana"/>
            <w:color w:val="auto"/>
            <w:sz w:val="20"/>
            <w:szCs w:val="20"/>
            <w:u w:val="none"/>
          </w:rPr>
          <w:t>https://fakultaeten.hu-berlin.de/de/philfak/informationen-zu-machtmissbrauch/abschlussbericht-mamiko.pdf</w:t>
        </w:r>
      </w:hyperlink>
      <w:r>
        <w:rPr>
          <w:rFonts w:eastAsia="Calibri" w:cs="Calibri" w:ascii="Verdana" w:hAnsi="Verdana"/>
          <w:sz w:val="20"/>
          <w:szCs w:val="20"/>
        </w:rPr>
        <w:t xml:space="preserve">  </w:t>
      </w:r>
    </w:p>
    <w:p>
      <w:pPr>
        <w:pStyle w:val="Normal"/>
        <w:jc w:val="both"/>
        <w:rPr>
          <w:rFonts w:ascii="Verdana" w:hAnsi="Verdana" w:cs="Calibri"/>
          <w:sz w:val="20"/>
          <w:szCs w:val="20"/>
        </w:rPr>
      </w:pPr>
      <w:r>
        <w:rPr>
          <w:rFonts w:eastAsia="Calibri" w:cs="Calibri" w:ascii="Verdana" w:hAnsi="Verdana"/>
          <w:sz w:val="20"/>
          <w:szCs w:val="20"/>
        </w:rPr>
        <w:t xml:space="preserve"> </w:t>
      </w:r>
      <w:r>
        <w:rPr>
          <w:rFonts w:eastAsia="Calibri" w:cs="Calibri" w:ascii="Verdana" w:hAnsi="Verdana"/>
          <w:sz w:val="20"/>
          <w:szCs w:val="20"/>
        </w:rPr>
        <w:t>https://diversitaet.hu-berlin.de/de/grundlagen-gremien/agg-beschwerdestelle</w:t>
      </w:r>
    </w:p>
    <w:p>
      <w:pPr>
        <w:pStyle w:val="Normal"/>
        <w:jc w:val="both"/>
        <w:rPr>
          <w:rFonts w:ascii="Verdana" w:hAnsi="Verdana" w:cs="Calibri"/>
          <w:sz w:val="20"/>
          <w:szCs w:val="20"/>
        </w:rPr>
      </w:pPr>
      <w:hyperlink r:id="rId18" w:tooltip="https://www.hu-berlin.de/de/service/beratung/chancengleichheit-1/chancengleichheit">
        <w:r>
          <w:rPr>
            <w:rStyle w:val="Hyperlink"/>
            <w:rFonts w:eastAsia="Calibri" w:cs="Calibri" w:ascii="Verdana" w:hAnsi="Verdana"/>
            <w:color w:val="auto"/>
            <w:sz w:val="20"/>
            <w:szCs w:val="20"/>
            <w:u w:val="none"/>
          </w:rPr>
          <w:t>https://www.hu-berlin.de/de/service/beratung/chancengleichheit-1/chancengleichheit</w:t>
        </w:r>
      </w:hyperlink>
      <w:r>
        <w:rPr>
          <w:rFonts w:eastAsia="Calibri" w:cs="Calibri" w:ascii="Verdana" w:hAnsi="Verdana"/>
          <w:sz w:val="20"/>
          <w:szCs w:val="20"/>
        </w:rPr>
        <w:t xml:space="preserve"> </w:t>
      </w:r>
    </w:p>
    <w:p>
      <w:pPr>
        <w:pStyle w:val="Normal"/>
        <w:jc w:val="both"/>
        <w:rPr>
          <w:rFonts w:ascii="Verdana" w:hAnsi="Verdana" w:eastAsia="Calibri" w:cs="Calibri"/>
          <w:sz w:val="20"/>
          <w:szCs w:val="20"/>
        </w:rPr>
      </w:pPr>
      <w:r>
        <w:rPr>
          <w:rFonts w:eastAsia="Calibri" w:cs="Calibri" w:ascii="Verdana" w:hAnsi="Verdana"/>
          <w:sz w:val="20"/>
          <w:szCs w:val="20"/>
        </w:rPr>
        <w:br/>
        <w:t xml:space="preserve">Bitte unterstützen Sie sich gegenseitig und hinterfragen Sie Narrative, um einer </w:t>
      </w:r>
      <w:r>
        <w:rPr>
          <w:rFonts w:eastAsia="Calibri" w:cs="Calibri" w:ascii="Verdana" w:hAnsi="Verdana"/>
          <w:i/>
          <w:iCs/>
          <w:sz w:val="20"/>
          <w:szCs w:val="20"/>
        </w:rPr>
        <w:t>Kultur des Wegschauens</w:t>
      </w:r>
      <w:r>
        <w:rPr>
          <w:rFonts w:eastAsia="Calibri" w:cs="Calibri" w:ascii="Verdana" w:hAnsi="Verdana"/>
          <w:sz w:val="20"/>
          <w:szCs w:val="20"/>
        </w:rPr>
        <w:t xml:space="preserve"> –Gewohnheit des Relativierens oder einer geht mich nichts an Mentalität- bei missbräuchlichen Verhaltens die Grundlage zu entziehen.</w:t>
      </w:r>
    </w:p>
    <w:p>
      <w:pPr>
        <w:pStyle w:val="Normal"/>
        <w:pBdr/>
        <w:jc w:val="both"/>
        <w:rPr>
          <w:rFonts w:ascii="Verdana" w:hAnsi="Verdana" w:cs="Verdana"/>
          <w:sz w:val="20"/>
          <w:szCs w:val="20"/>
        </w:rPr>
      </w:pPr>
      <w:r>
        <w:rPr>
          <w:rFonts w:cs="Verdana" w:ascii="Verdana" w:hAnsi="Verdana"/>
          <w:sz w:val="20"/>
          <w:szCs w:val="20"/>
        </w:rPr>
      </w:r>
    </w:p>
    <w:p>
      <w:pPr>
        <w:pStyle w:val="Normal"/>
        <w:rPr>
          <w:rFonts w:ascii="Verdana" w:hAnsi="Verdana"/>
          <w:b/>
          <w:sz w:val="20"/>
          <w:szCs w:val="20"/>
        </w:rPr>
      </w:pPr>
      <w:r>
        <w:rPr>
          <w:rFonts w:ascii="Verdana" w:hAnsi="Verdana"/>
          <w:b/>
          <w:sz w:val="44"/>
          <w:szCs w:val="44"/>
        </w:rPr>
        <w:t>D</w:t>
      </w:r>
      <w:r>
        <w:rPr>
          <w:rFonts w:ascii="Verdana" w:hAnsi="Verdana"/>
          <w:b/>
          <w:sz w:val="20"/>
          <w:szCs w:val="20"/>
        </w:rPr>
        <w:t>ienstvereinbarung „Mobiles Arbeiten“</w:t>
      </w:r>
    </w:p>
    <w:p>
      <w:pPr>
        <w:pStyle w:val="Normal"/>
        <w:pBdr/>
        <w:jc w:val="both"/>
        <w:rPr>
          <w:rFonts w:ascii="Verdana" w:hAnsi="Verdana" w:cs="Verdana"/>
          <w:sz w:val="20"/>
          <w:szCs w:val="20"/>
        </w:rPr>
      </w:pPr>
      <w:r>
        <w:rPr>
          <w:rFonts w:eastAsia="Verdana" w:cs="Verdana" w:ascii="Verdana" w:hAnsi="Verdana"/>
          <w:color w:val="000000"/>
          <w:sz w:val="20"/>
          <w:szCs w:val="20"/>
        </w:rPr>
        <w:t>Die Dienstvereinbarung „Mobiles Arbeiten“ wurde im Jahr 2021 zwischen dem Gesamtpersonalrat und der Hochschulleitung der Humboldt</w:t>
      </w:r>
      <w:r>
        <w:rPr>
          <w:rFonts w:eastAsia="Verdana" w:cs="Cambria Math" w:ascii="Cambria Math" w:hAnsi="Cambria Math"/>
          <w:color w:val="000000"/>
          <w:sz w:val="20"/>
          <w:szCs w:val="20"/>
        </w:rPr>
        <w:noBreakHyphen/>
      </w:r>
      <w:r>
        <w:rPr>
          <w:rFonts w:eastAsia="Verdana" w:cs="Verdana" w:ascii="Verdana" w:hAnsi="Verdana"/>
          <w:color w:val="000000"/>
          <w:sz w:val="20"/>
          <w:szCs w:val="20"/>
        </w:rPr>
        <w:t xml:space="preserve">Universität zu Berlin abgeschlossen. Sie erlaubt Mitarbeitenden, ihre dienstliche Tätigkeit </w:t>
      </w:r>
      <w:r>
        <w:rPr>
          <w:rFonts w:eastAsia="Verdana" w:cs="Verdana" w:ascii="Verdana" w:hAnsi="Verdana"/>
          <w:b/>
          <w:color w:val="000000"/>
          <w:sz w:val="20"/>
          <w:szCs w:val="20"/>
        </w:rPr>
        <w:t>außerhalb der dienstlichen Gebäude</w:t>
      </w:r>
      <w:r>
        <w:rPr>
          <w:rFonts w:eastAsia="Verdana" w:cs="Verdana" w:ascii="Verdana" w:hAnsi="Verdana"/>
          <w:color w:val="000000"/>
          <w:sz w:val="20"/>
          <w:szCs w:val="20"/>
        </w:rPr>
        <w:t xml:space="preserve"> zu erbringen – etwa im Homeoffice oder an einem anderen geeigneten Ort im Inland. Die Teilnahme ist freiwillig und bedarf der </w:t>
      </w:r>
      <w:r>
        <w:rPr>
          <w:rFonts w:eastAsia="Verdana" w:cs="Verdana" w:ascii="Verdana" w:hAnsi="Verdana"/>
          <w:b/>
          <w:color w:val="000000"/>
          <w:sz w:val="20"/>
          <w:szCs w:val="20"/>
        </w:rPr>
        <w:t>schriftlichen Antragstellung und Zustimmung der vorgesetzten Stelle</w:t>
      </w:r>
      <w:r>
        <w:rPr>
          <w:rFonts w:eastAsia="Verdana" w:cs="Verdana" w:ascii="Verdana" w:hAnsi="Verdana"/>
          <w:color w:val="000000"/>
          <w:sz w:val="20"/>
          <w:szCs w:val="20"/>
        </w:rPr>
        <w:t>.</w:t>
      </w:r>
    </w:p>
    <w:p>
      <w:pPr>
        <w:pStyle w:val="Normal"/>
        <w:pBdr/>
        <w:jc w:val="both"/>
        <w:rPr>
          <w:rFonts w:ascii="Verdana" w:hAnsi="Verdana" w:cs="Verdana"/>
          <w:sz w:val="20"/>
          <w:szCs w:val="20"/>
        </w:rPr>
      </w:pPr>
      <w:r>
        <w:rPr>
          <w:rFonts w:eastAsia="Verdana" w:cs="Verdana" w:ascii="Verdana" w:hAnsi="Verdana"/>
          <w:color w:val="000000"/>
          <w:sz w:val="20"/>
          <w:szCs w:val="20"/>
        </w:rPr>
        <w:t xml:space="preserve">Der Umfang der mobilen Arbeit wird individuell in Abstimmung mit der bzw. dem Vorgesetzten vereinbart. Für ganztägige mobile Arbeit ist eine Mindestdauer von </w:t>
      </w:r>
      <w:r>
        <w:rPr>
          <w:rFonts w:eastAsia="Verdana" w:cs="Verdana" w:ascii="Verdana" w:hAnsi="Verdana"/>
          <w:b/>
          <w:color w:val="000000"/>
          <w:sz w:val="20"/>
          <w:szCs w:val="20"/>
        </w:rPr>
        <w:t>20 % der wöchentlichen Arbeitszeit oder mindestens ein Arbeitstag pro Woche</w:t>
      </w:r>
      <w:r>
        <w:rPr>
          <w:rFonts w:eastAsia="Verdana" w:cs="Verdana" w:ascii="Verdana" w:hAnsi="Verdana"/>
          <w:color w:val="000000"/>
          <w:sz w:val="20"/>
          <w:szCs w:val="20"/>
        </w:rPr>
        <w:t xml:space="preserve"> vorgesehen. Bei überwiegender Verwaltungstätigkeit wird eine </w:t>
      </w:r>
      <w:r>
        <w:rPr>
          <w:rFonts w:eastAsia="Verdana" w:cs="Verdana" w:ascii="Verdana" w:hAnsi="Verdana"/>
          <w:b/>
          <w:color w:val="000000"/>
          <w:sz w:val="20"/>
          <w:szCs w:val="20"/>
        </w:rPr>
        <w:t>Präsenzzeit von etwa 60 % der Arbeitszeit bzw. drei Tage pro Woche</w:t>
      </w:r>
      <w:r>
        <w:rPr>
          <w:rFonts w:eastAsia="Verdana" w:cs="Verdana" w:ascii="Verdana" w:hAnsi="Verdana"/>
          <w:color w:val="000000"/>
          <w:sz w:val="20"/>
          <w:szCs w:val="20"/>
        </w:rPr>
        <w:t xml:space="preserve"> empfohlen. Von der Empfehlung kann abgewichen werden. </w:t>
      </w:r>
    </w:p>
    <w:p>
      <w:pPr>
        <w:pStyle w:val="Normal"/>
        <w:pBdr/>
        <w:jc w:val="both"/>
        <w:rPr>
          <w:rFonts w:ascii="Verdana" w:hAnsi="Verdana" w:eastAsia="Verdana" w:cs="Verdana"/>
          <w:color w:val="000000"/>
          <w:sz w:val="20"/>
          <w:szCs w:val="20"/>
        </w:rPr>
      </w:pPr>
      <w:r>
        <w:rPr>
          <w:rFonts w:eastAsia="Verdana" w:cs="Verdana" w:ascii="Verdana" w:hAnsi="Verdana"/>
          <w:b/>
          <w:color w:val="000000"/>
          <w:sz w:val="20"/>
          <w:szCs w:val="20"/>
        </w:rPr>
        <w:t>Arbeit aus dem Ausland</w:t>
      </w:r>
      <w:r>
        <w:rPr>
          <w:rFonts w:eastAsia="Verdana" w:cs="Verdana" w:ascii="Verdana" w:hAnsi="Verdana"/>
          <w:color w:val="000000"/>
          <w:sz w:val="20"/>
          <w:szCs w:val="20"/>
        </w:rPr>
        <w:t xml:space="preserve"> ist gemäß der bestehenden Dienstvereinbarung </w:t>
      </w:r>
      <w:r>
        <w:rPr>
          <w:rFonts w:eastAsia="Verdana" w:cs="Verdana" w:ascii="Verdana" w:hAnsi="Verdana"/>
          <w:b/>
          <w:color w:val="000000"/>
          <w:sz w:val="20"/>
          <w:szCs w:val="20"/>
        </w:rPr>
        <w:t>grundsätzlich ausgeschlossen.</w:t>
      </w:r>
      <w:r>
        <w:rPr>
          <w:rFonts w:eastAsia="Verdana" w:cs="Verdana" w:ascii="Verdana" w:hAnsi="Verdana"/>
          <w:color w:val="000000"/>
          <w:sz w:val="20"/>
          <w:szCs w:val="20"/>
        </w:rPr>
        <w:t xml:space="preserve"> Die Universitätsleitung hat jedoch angekündigt, in Einzelfällen </w:t>
      </w:r>
      <w:r>
        <w:rPr>
          <w:rFonts w:eastAsia="Verdana" w:cs="Verdana" w:ascii="Verdana" w:hAnsi="Verdana"/>
          <w:b/>
          <w:color w:val="000000"/>
          <w:sz w:val="20"/>
          <w:szCs w:val="20"/>
        </w:rPr>
        <w:t>kurze Auslandsaufenthalte im Rahmen von Entsendungen möglich zu machen</w:t>
      </w:r>
      <w:r>
        <w:rPr>
          <w:rFonts w:eastAsia="Verdana" w:cs="Verdana" w:ascii="Verdana" w:hAnsi="Verdana"/>
          <w:color w:val="000000"/>
          <w:sz w:val="20"/>
          <w:szCs w:val="20"/>
        </w:rPr>
        <w:t xml:space="preserve">. </w:t>
      </w:r>
    </w:p>
    <w:p>
      <w:pPr>
        <w:pStyle w:val="Normal"/>
        <w:pBdr/>
        <w:jc w:val="both"/>
        <w:rPr>
          <w:rFonts w:ascii="Verdana" w:hAnsi="Verdana" w:eastAsia="Verdana" w:cs="Verdana"/>
          <w:color w:val="000000"/>
          <w:sz w:val="20"/>
          <w:szCs w:val="20"/>
        </w:rPr>
      </w:pPr>
      <w:r>
        <w:rPr>
          <w:rFonts w:eastAsia="Verdana" w:cs="Verdana" w:ascii="Verdana" w:hAnsi="Verdana"/>
          <w:color w:val="000000"/>
          <w:sz w:val="20"/>
          <w:szCs w:val="20"/>
        </w:rPr>
        <w:t xml:space="preserve">In enger Abstimmung mit dem Familienbüro und der zentralen Frauenbeauftragten hat der Gesamtpersonalrat auf Basis von Feedback eine </w:t>
      </w:r>
      <w:r>
        <w:rPr>
          <w:rFonts w:eastAsia="Verdana" w:cs="Verdana" w:ascii="Verdana" w:hAnsi="Verdana"/>
          <w:b/>
          <w:color w:val="000000"/>
          <w:sz w:val="20"/>
          <w:szCs w:val="20"/>
        </w:rPr>
        <w:t>Prioritätenliste</w:t>
      </w:r>
      <w:r>
        <w:rPr>
          <w:rFonts w:eastAsia="Verdana" w:cs="Verdana" w:ascii="Verdana" w:hAnsi="Verdana"/>
          <w:color w:val="000000"/>
          <w:sz w:val="20"/>
          <w:szCs w:val="20"/>
        </w:rPr>
        <w:t xml:space="preserve"> erstellt. Diese legt </w:t>
      </w:r>
      <w:r>
        <w:rPr>
          <w:rFonts w:eastAsia="Verdana" w:cs="Verdana" w:ascii="Verdana" w:hAnsi="Verdana"/>
          <w:b/>
          <w:color w:val="000000"/>
          <w:sz w:val="20"/>
          <w:szCs w:val="20"/>
        </w:rPr>
        <w:t>Länder fest, für die vorrangig geprüft werden soll</w:t>
      </w:r>
      <w:r>
        <w:rPr>
          <w:rFonts w:eastAsia="Verdana" w:cs="Verdana" w:ascii="Verdana" w:hAnsi="Verdana"/>
          <w:color w:val="000000"/>
          <w:sz w:val="20"/>
          <w:szCs w:val="20"/>
        </w:rPr>
        <w:t xml:space="preserve">, ob und in welchem Umfang mobiles Arbeiten dort möglich ist. Die festgelegten Länder sind: </w:t>
      </w:r>
      <w:r>
        <w:rPr>
          <w:rFonts w:eastAsia="Verdana" w:cs="Verdana" w:ascii="Verdana" w:hAnsi="Verdana"/>
          <w:b/>
          <w:color w:val="000000"/>
          <w:sz w:val="20"/>
          <w:szCs w:val="20"/>
        </w:rPr>
        <w:t>Polen, Ungarn, Italien, Spanien, Österreich und die Schweiz</w:t>
      </w:r>
      <w:r>
        <w:rPr>
          <w:rFonts w:eastAsia="Verdana" w:cs="Verdana" w:ascii="Verdana" w:hAnsi="Verdana"/>
          <w:color w:val="000000"/>
          <w:sz w:val="20"/>
          <w:szCs w:val="20"/>
        </w:rPr>
        <w:t xml:space="preserve">. </w:t>
      </w:r>
    </w:p>
    <w:p>
      <w:pPr>
        <w:pStyle w:val="Normal"/>
        <w:pBdr/>
        <w:jc w:val="both"/>
        <w:rPr>
          <w:rFonts w:ascii="Verdana" w:hAnsi="Verdana" w:eastAsia="Verdana" w:cs="Verdana"/>
          <w:b/>
          <w:bCs/>
          <w:color w:val="000000"/>
          <w:sz w:val="20"/>
          <w:szCs w:val="20"/>
        </w:rPr>
      </w:pPr>
      <w:r>
        <w:rPr>
          <w:rFonts w:eastAsia="Verdana" w:cs="Verdana" w:ascii="Verdana" w:hAnsi="Verdana"/>
          <w:color w:val="000000"/>
          <w:sz w:val="20"/>
          <w:szCs w:val="20"/>
        </w:rPr>
        <w:t>Die Universitätsleitung hat den Personalräten jetzt im Rahmen eines Monatsgesprächs mitgeteilt, dass es dazu keine weiteren Aktivitäten der Universität geben wird. Es bleibt also dabei, dass Mobiles Arbeiten aus dem Ausland nicht möglich sein wird. Die Universitätsleitung begründet dies mit dem Aufwand und dem geringen Nutzen (zu wenige profitierende Beschäftigte).</w:t>
      </w:r>
    </w:p>
    <w:p>
      <w:pPr>
        <w:pStyle w:val="Normal"/>
        <w:widowControl/>
        <w:rPr>
          <w:rFonts w:ascii="Verdana" w:hAnsi="Verdana" w:cs="Verdana"/>
          <w:sz w:val="20"/>
          <w:szCs w:val="20"/>
        </w:rPr>
      </w:pPr>
      <w:r>
        <w:rPr>
          <w:rFonts w:cs="Verdana" w:ascii="Verdana" w:hAnsi="Verdana"/>
          <w:sz w:val="20"/>
          <w:szCs w:val="20"/>
        </w:rPr>
      </w:r>
      <w:r>
        <w:br w:type="page"/>
      </w:r>
    </w:p>
    <w:p>
      <w:pPr>
        <w:pStyle w:val="Normal"/>
        <w:pBdr/>
        <w:spacing w:before="0" w:after="0"/>
        <w:jc w:val="both"/>
        <w:rPr>
          <w:rFonts w:ascii="Verdana" w:hAnsi="Verdana" w:eastAsia="Verdana" w:cs="Verdana"/>
          <w:b/>
          <w:sz w:val="20"/>
          <w:szCs w:val="20"/>
        </w:rPr>
      </w:pPr>
      <w:r>
        <w:rPr>
          <w:rFonts w:eastAsia="Verdana" w:cs="Verdana" w:ascii="Verdana" w:hAnsi="Verdana"/>
          <w:b/>
          <w:sz w:val="44"/>
          <w:szCs w:val="44"/>
        </w:rPr>
        <w:t>S</w:t>
      </w:r>
      <w:r>
        <w:rPr>
          <w:rFonts w:eastAsia="Verdana" w:cs="Verdana" w:ascii="Verdana" w:hAnsi="Verdana"/>
          <w:b/>
          <w:sz w:val="20"/>
          <w:szCs w:val="20"/>
        </w:rPr>
        <w:t>AP</w:t>
      </w:r>
    </w:p>
    <w:p>
      <w:pPr>
        <w:pStyle w:val="Normal"/>
        <w:pBdr/>
        <w:jc w:val="both"/>
        <w:rPr>
          <w:rFonts w:ascii="Verdana" w:hAnsi="Verdana" w:cs="Verdana"/>
          <w:sz w:val="20"/>
          <w:szCs w:val="20"/>
        </w:rPr>
      </w:pPr>
      <w:r>
        <w:rPr>
          <w:rFonts w:eastAsia="Verdana" w:cs="Verdana" w:ascii="Verdana" w:hAnsi="Verdana"/>
          <w:sz w:val="20"/>
          <w:szCs w:val="20"/>
        </w:rPr>
        <w:t>Seit dem 01.01.2021 arbeiten wir an der Universität mit SAP.</w:t>
      </w:r>
      <w:r>
        <w:rPr>
          <w:rFonts w:eastAsia="Verdana" w:cs="Verdana" w:ascii="Verdana" w:hAnsi="Verdana"/>
          <w:sz w:val="20"/>
          <w:szCs w:val="20"/>
        </w:rPr>
        <w:br w:type="textWrapping" w:clear="all"/>
      </w:r>
      <w:r>
        <w:rPr>
          <w:rFonts w:eastAsia="Verdana" w:cs="Verdana" w:ascii="Verdana" w:hAnsi="Verdana"/>
          <w:sz w:val="20"/>
          <w:szCs w:val="20"/>
        </w:rPr>
        <w:t>Die Erfahrungen der Beschäftigten sind dabei sehr unterschiedlich. Neben den üblichen Schwierigkeiten, die ein Systemwechsel mit sich bringt, zeigt sich aus unserer Sicht ein zentrales Problem: Die Versprechen der Universitätsleitung wurden bislang nicht eingelöst.</w:t>
      </w:r>
    </w:p>
    <w:p>
      <w:pPr>
        <w:pStyle w:val="ListParagraph"/>
        <w:numPr>
          <w:ilvl w:val="0"/>
          <w:numId w:val="10"/>
        </w:numPr>
        <w:pBdr/>
        <w:spacing w:lineRule="auto" w:line="240" w:before="0" w:after="0"/>
        <w:contextualSpacing/>
        <w:jc w:val="both"/>
        <w:rPr>
          <w:rFonts w:ascii="Verdana" w:hAnsi="Verdana" w:cs="Verdana"/>
          <w:sz w:val="20"/>
          <w:szCs w:val="20"/>
        </w:rPr>
      </w:pPr>
      <w:r>
        <w:rPr>
          <w:rFonts w:eastAsia="Verdana" w:cs="Verdana" w:ascii="Verdana" w:hAnsi="Verdana"/>
          <w:sz w:val="20"/>
          <w:szCs w:val="20"/>
        </w:rPr>
        <w:t>Medienbrüche: In den Verfahren der HU bestehen weiterhin Medienbrüche.</w:t>
      </w:r>
    </w:p>
    <w:p>
      <w:pPr>
        <w:pStyle w:val="ListParagraph"/>
        <w:numPr>
          <w:ilvl w:val="0"/>
          <w:numId w:val="10"/>
        </w:numPr>
        <w:pBdr/>
        <w:spacing w:lineRule="auto" w:line="240" w:before="0" w:after="0"/>
        <w:contextualSpacing/>
        <w:jc w:val="both"/>
        <w:rPr>
          <w:rFonts w:ascii="Verdana" w:hAnsi="Verdana" w:cs="Verdana"/>
          <w:sz w:val="20"/>
          <w:szCs w:val="20"/>
        </w:rPr>
      </w:pPr>
      <w:r>
        <w:rPr>
          <w:rFonts w:eastAsia="Verdana" w:cs="Verdana" w:ascii="Verdana" w:hAnsi="Verdana"/>
          <w:sz w:val="20"/>
          <w:szCs w:val="20"/>
        </w:rPr>
        <w:t>Transparenz: Weder bei der Bearbeitung von Rechnungen noch bei Personalvorgängen konnte mehr Transparenz geschaffen werden.</w:t>
      </w:r>
    </w:p>
    <w:p>
      <w:pPr>
        <w:pStyle w:val="ListParagraph"/>
        <w:numPr>
          <w:ilvl w:val="0"/>
          <w:numId w:val="10"/>
        </w:numPr>
        <w:pBdr/>
        <w:spacing w:lineRule="auto" w:line="240" w:before="0" w:after="0"/>
        <w:contextualSpacing/>
        <w:jc w:val="both"/>
        <w:rPr>
          <w:rFonts w:ascii="Verdana" w:hAnsi="Verdana" w:cs="Verdana"/>
          <w:sz w:val="20"/>
          <w:szCs w:val="20"/>
        </w:rPr>
      </w:pPr>
      <w:r>
        <w:rPr>
          <w:rFonts w:eastAsia="Verdana" w:cs="Verdana" w:ascii="Verdana" w:hAnsi="Verdana"/>
          <w:sz w:val="20"/>
          <w:szCs w:val="20"/>
        </w:rPr>
        <w:t>Berichtspflichten: Die Nutzung des kaufmännischen Abrechnungssystems und die gleichzeitige Erfüllung der vom Land auferlegten kameralen Berichtspflichten sind bislang nicht zufriedenstellend gelöst.</w:t>
      </w:r>
    </w:p>
    <w:p>
      <w:pPr>
        <w:pStyle w:val="ListParagraph"/>
        <w:numPr>
          <w:ilvl w:val="0"/>
          <w:numId w:val="10"/>
        </w:numPr>
        <w:pBdr/>
        <w:spacing w:lineRule="auto" w:line="240" w:before="0" w:after="0"/>
        <w:contextualSpacing/>
        <w:jc w:val="both"/>
        <w:rPr>
          <w:rFonts w:ascii="Verdana" w:hAnsi="Verdana" w:cs="Verdana"/>
          <w:sz w:val="20"/>
          <w:szCs w:val="20"/>
        </w:rPr>
      </w:pPr>
      <w:r>
        <w:rPr>
          <w:rFonts w:eastAsia="Verdana" w:cs="Verdana" w:ascii="Verdana" w:hAnsi="Verdana"/>
          <w:sz w:val="20"/>
          <w:szCs w:val="20"/>
        </w:rPr>
        <w:t>SAP HCM: Besonders problematisch bleibt, dass die Datenpflege in SAP HCM für die Personalabteilung deutlich aufwendiger ist als in den bisherigen Altsystemen.</w:t>
      </w:r>
    </w:p>
    <w:p>
      <w:pPr>
        <w:pStyle w:val="Normal"/>
        <w:pBdr/>
        <w:jc w:val="both"/>
        <w:rPr>
          <w:rFonts w:ascii="Verdana" w:hAnsi="Verdana" w:cs="Verdana"/>
          <w:sz w:val="20"/>
          <w:szCs w:val="20"/>
        </w:rPr>
      </w:pPr>
      <w:r>
        <w:rPr>
          <w:rFonts w:eastAsia="Verdana" w:cs="Verdana" w:ascii="Verdana" w:hAnsi="Verdana"/>
          <w:sz w:val="20"/>
          <w:szCs w:val="20"/>
        </w:rPr>
        <w:t>In mehreren SAP-Modulen läuft zum Jahr 2027 der Support aus. Da die jeweiligen Support-Enden sehr unterschiedliche Auswirkungen haben, entstehen für die kommenden Jahre vielfältige und differenzierte Herausforderungen.</w:t>
      </w:r>
    </w:p>
    <w:p>
      <w:pPr>
        <w:pStyle w:val="Normal"/>
        <w:pBdr/>
        <w:jc w:val="both"/>
        <w:rPr>
          <w:rFonts w:ascii="Verdana" w:hAnsi="Verdana" w:eastAsia="Verdana" w:cs="Verdana"/>
          <w:b/>
          <w:bCs/>
          <w:sz w:val="20"/>
          <w:szCs w:val="20"/>
        </w:rPr>
      </w:pPr>
      <w:r>
        <w:rPr>
          <w:rFonts w:eastAsia="Verdana" w:cs="Verdana" w:ascii="Verdana" w:hAnsi="Verdana"/>
          <w:b/>
          <w:bCs/>
          <w:sz w:val="20"/>
          <w:szCs w:val="20"/>
        </w:rPr>
      </w:r>
    </w:p>
    <w:p>
      <w:pPr>
        <w:pStyle w:val="Normal"/>
        <w:pBdr/>
        <w:jc w:val="both"/>
        <w:rPr>
          <w:rFonts w:ascii="Verdana" w:hAnsi="Verdana" w:eastAsia="Verdana" w:cs="Verdana"/>
          <w:b/>
          <w:bCs/>
          <w:sz w:val="20"/>
          <w:szCs w:val="20"/>
        </w:rPr>
      </w:pPr>
      <w:r>
        <w:rPr>
          <w:rFonts w:eastAsia="Verdana" w:cs="Verdana" w:ascii="Verdana" w:hAnsi="Verdana"/>
          <w:b/>
          <w:bCs/>
          <w:sz w:val="20"/>
          <w:szCs w:val="20"/>
        </w:rPr>
        <w:t>Positive Entwicklungen gibt es in der Technischen Abteilung (TA):</w:t>
      </w:r>
    </w:p>
    <w:p>
      <w:pPr>
        <w:pStyle w:val="Normal"/>
        <w:pBdr/>
        <w:jc w:val="both"/>
        <w:rPr>
          <w:rFonts w:ascii="Verdana" w:hAnsi="Verdana" w:cs="Verdana"/>
          <w:sz w:val="20"/>
          <w:szCs w:val="20"/>
        </w:rPr>
      </w:pPr>
      <w:r>
        <w:rPr>
          <w:rFonts w:eastAsia="Verdana" w:cs="Verdana" w:ascii="Verdana" w:hAnsi="Verdana"/>
          <w:sz w:val="20"/>
          <w:szCs w:val="20"/>
        </w:rPr>
        <w:t>Hier wurde inzwischen die 4. Ausbaustufe zur Digitalisierung weiterer Vorgänge erfolgreich umgesetzt. Es hat sich ausgezahlt, dass die TA frühzeitig eigenen Sachverstand für die SAP-Konzeption aufgebaut und sich für den Einsatz von Korasoft – einem auf SAP aufsetzenden System – eingesetzt hat. Mit der 4. Ausbaustufe wurden weitere Module der Firma Korasoft eingeführt, die die Arbeitsprozesse spürbar erleichtern.</w:t>
      </w:r>
    </w:p>
    <w:p>
      <w:pPr>
        <w:pStyle w:val="Normal"/>
        <w:pBdr/>
        <w:jc w:val="both"/>
        <w:rPr>
          <w:rFonts w:ascii="Verdana" w:hAnsi="Verdana" w:eastAsia="Verdana" w:cs="Verdana"/>
          <w:b/>
          <w:bCs/>
          <w:sz w:val="20"/>
          <w:szCs w:val="20"/>
        </w:rPr>
      </w:pPr>
      <w:r>
        <w:rPr>
          <w:rFonts w:eastAsia="Verdana" w:cs="Verdana" w:ascii="Verdana" w:hAnsi="Verdana"/>
          <w:b/>
          <w:bCs/>
          <w:sz w:val="20"/>
          <w:szCs w:val="20"/>
        </w:rPr>
      </w:r>
    </w:p>
    <w:p>
      <w:pPr>
        <w:pStyle w:val="Normal"/>
        <w:pBdr/>
        <w:jc w:val="both"/>
        <w:rPr>
          <w:rFonts w:ascii="Verdana" w:hAnsi="Verdana" w:eastAsia="Verdana" w:cs="Verdana"/>
          <w:sz w:val="20"/>
          <w:szCs w:val="20"/>
        </w:rPr>
      </w:pPr>
      <w:r>
        <w:rPr>
          <w:rFonts w:eastAsia="Verdana" w:cs="Verdana" w:ascii="Verdana" w:hAnsi="Verdana"/>
          <w:b/>
          <w:bCs/>
          <w:sz w:val="20"/>
          <w:szCs w:val="20"/>
        </w:rPr>
        <w:t xml:space="preserve">Fortschritte bei Dienstreisen: </w:t>
      </w:r>
    </w:p>
    <w:p>
      <w:pPr>
        <w:pStyle w:val="Normal"/>
        <w:pBdr/>
        <w:jc w:val="both"/>
        <w:rPr>
          <w:rFonts w:ascii="Verdana" w:hAnsi="Verdana" w:cs="Verdana"/>
          <w:sz w:val="20"/>
          <w:szCs w:val="20"/>
        </w:rPr>
      </w:pPr>
      <w:r>
        <w:rPr>
          <w:rFonts w:eastAsia="Verdana" w:cs="Verdana" w:ascii="Verdana" w:hAnsi="Verdana"/>
          <w:sz w:val="20"/>
          <w:szCs w:val="20"/>
        </w:rPr>
        <w:t>Für die Pilotbereiche konnte SAP FI-TV erfolgreich eingeführt werden. Dienstreisen lassen sich nun über SAP-ESS beantragen und abrechnen. Eine Anwenderdokumentation steht im Intranet bereit, zusätzlich werden Sprechstunden für Fragen und Probleme angeboten.</w:t>
      </w:r>
    </w:p>
    <w:p>
      <w:pPr>
        <w:pStyle w:val="Normal"/>
        <w:jc w:val="both"/>
        <w:rPr>
          <w:rFonts w:ascii="Verdana" w:hAnsi="Verdana" w:eastAsia="Verdana" w:cs="Verdana"/>
          <w:b/>
          <w:bCs/>
          <w:sz w:val="20"/>
          <w:szCs w:val="20"/>
        </w:rPr>
      </w:pPr>
      <w:r>
        <w:rPr>
          <w:rFonts w:eastAsia="Verdana" w:cs="Verdana" w:ascii="Verdana" w:hAnsi="Verdana"/>
          <w:b/>
          <w:bCs/>
          <w:sz w:val="20"/>
          <w:szCs w:val="20"/>
        </w:rPr>
      </w:r>
    </w:p>
    <w:p>
      <w:pPr>
        <w:pStyle w:val="Normal"/>
        <w:jc w:val="both"/>
        <w:rPr>
          <w:rFonts w:ascii="Verdana" w:hAnsi="Verdana" w:eastAsia="Verdana" w:cs="Verdana"/>
          <w:sz w:val="20"/>
          <w:szCs w:val="20"/>
        </w:rPr>
      </w:pPr>
      <w:r>
        <w:rPr>
          <w:rFonts w:eastAsia="Verdana" w:cs="Verdana" w:ascii="Verdana" w:hAnsi="Verdana"/>
          <w:b/>
          <w:bCs/>
          <w:sz w:val="20"/>
          <w:szCs w:val="20"/>
        </w:rPr>
        <w:t>Herausforderung im Bereich Beschaffung:</w:t>
      </w:r>
    </w:p>
    <w:p>
      <w:pPr>
        <w:pStyle w:val="Normal"/>
        <w:jc w:val="both"/>
        <w:rPr>
          <w:rFonts w:ascii="Verdana" w:hAnsi="Verdana" w:eastAsia="Verdana" w:cs="Verdana"/>
          <w:sz w:val="20"/>
          <w:szCs w:val="20"/>
        </w:rPr>
      </w:pPr>
      <w:r>
        <w:rPr>
          <w:rFonts w:eastAsia="Verdana" w:cs="Verdana" w:ascii="Verdana" w:hAnsi="Verdana"/>
          <w:sz w:val="20"/>
          <w:szCs w:val="20"/>
        </w:rPr>
        <w:t>Eine große Baustelle bleibt die Einbindung von Katalogen in Ariba. Ziel ist es, Bestellungen über ausgehandelte Rahmenverträge ohne zusätzliche Vergleichsangebote und ohne Einbindung der G3 zu ermöglichen. Schwierigkeiten bereitet jedoch das Einpflegen der Rahmenverträge des Landesverwaltungsamtes Berlin, z. B. für Büromöbel. Zukünftig soll eine neue Stelle für das Katalogmanagement geschaffen werden, die sich um die Einbindung der Kataloge sowie die Kommunikation mit den Lieferanten kümmert.</w:t>
      </w:r>
    </w:p>
    <w:p>
      <w:pPr>
        <w:pStyle w:val="Normal"/>
        <w:pBdr/>
        <w:jc w:val="both"/>
        <w:rPr>
          <w:rFonts w:ascii="Verdana" w:hAnsi="Verdana" w:cs="Verdana"/>
          <w:sz w:val="20"/>
          <w:szCs w:val="20"/>
        </w:rPr>
      </w:pPr>
      <w:r>
        <w:rPr>
          <w:rFonts w:cs="Verdana" w:ascii="Verdana" w:hAnsi="Verdana"/>
          <w:sz w:val="20"/>
          <w:szCs w:val="20"/>
        </w:rPr>
      </w:r>
      <w:bookmarkStart w:id="1" w:name="_GoBack"/>
      <w:bookmarkStart w:id="2" w:name="_GoBack"/>
      <w:bookmarkEnd w:id="2"/>
    </w:p>
    <w:p>
      <w:pPr>
        <w:pStyle w:val="Normal"/>
        <w:pBdr/>
        <w:jc w:val="both"/>
        <w:rPr>
          <w:rFonts w:ascii="Verdana" w:hAnsi="Verdana" w:eastAsia="Verdana" w:cs="Verdana"/>
          <w:b/>
          <w:bCs/>
          <w:sz w:val="20"/>
          <w:szCs w:val="20"/>
        </w:rPr>
      </w:pPr>
      <w:r>
        <w:rPr>
          <w:rFonts w:ascii="Verdana" w:hAnsi="Verdana"/>
          <w:b/>
          <w:bCs/>
          <w:sz w:val="44"/>
          <w:szCs w:val="44"/>
        </w:rPr>
        <w:t>Ü</w:t>
      </w:r>
      <w:r>
        <w:rPr>
          <w:rFonts w:eastAsia="Verdana" w:cs="Verdana" w:ascii="Verdana" w:hAnsi="Verdana"/>
          <w:b/>
          <w:bCs/>
          <w:sz w:val="20"/>
          <w:szCs w:val="20"/>
        </w:rPr>
        <w:t>berlastungsanzeige</w:t>
      </w:r>
    </w:p>
    <w:p>
      <w:pPr>
        <w:pStyle w:val="Normal"/>
        <w:rPr>
          <w:rFonts w:ascii="Verdana" w:hAnsi="Verdana" w:eastAsia="Verdana" w:cs="Verdana"/>
          <w:sz w:val="20"/>
          <w:szCs w:val="20"/>
        </w:rPr>
      </w:pPr>
      <w:r>
        <w:rPr>
          <w:rFonts w:eastAsia="Verdana" w:cs="Verdana" w:ascii="Verdana" w:hAnsi="Verdana"/>
          <w:sz w:val="20"/>
          <w:szCs w:val="20"/>
        </w:rPr>
        <w:t>Arbeitsverdichtung durch personelle Unterbesetzung, Digitalisierung, Einführung neuer Software und damit verbundenen Prozessänderungen verlangen den Beschäftigen viel ab. In einigen Bereichen hat das leider zu Überlastungssituationen geführt. Engpässe und Unterausstattung, ungeklärte Zuständigkeiten und ungelöste strukturelle Probleme – das Zusammenspiel verschiedener Ursachen führt dazu, dass Beschäftigte ihre Situation als Belastung erleben.</w:t>
      </w:r>
      <w:r>
        <w:rPr>
          <w:rFonts w:eastAsia="Verdana" w:cs="Verdana" w:ascii="Verdana" w:hAnsi="Verdana"/>
          <w:color w:val="000000"/>
          <w:sz w:val="20"/>
        </w:rPr>
        <w:t xml:space="preserve"> Symptome dieser Belastung können körperlicher oder/und seelischer Art sein. </w:t>
      </w:r>
    </w:p>
    <w:p>
      <w:pPr>
        <w:pStyle w:val="Normal"/>
        <w:rPr>
          <w:rFonts w:ascii="Verdana" w:hAnsi="Verdana" w:eastAsia="Verdana" w:cs="Verdana"/>
          <w:sz w:val="20"/>
          <w:szCs w:val="20"/>
        </w:rPr>
      </w:pPr>
      <w:r>
        <w:rPr>
          <w:rFonts w:eastAsia="Verdana" w:cs="Verdana" w:ascii="Verdana" w:hAnsi="Verdana"/>
          <w:sz w:val="20"/>
          <w:szCs w:val="20"/>
        </w:rPr>
      </w:r>
    </w:p>
    <w:p>
      <w:pPr>
        <w:pStyle w:val="Normal"/>
        <w:widowControl/>
        <w:rPr>
          <w:rFonts w:ascii="Verdana" w:hAnsi="Verdana" w:eastAsia="Verdana" w:cs="Verdana"/>
          <w:sz w:val="20"/>
          <w:szCs w:val="20"/>
        </w:rPr>
      </w:pPr>
      <w:r>
        <w:rPr>
          <w:rFonts w:eastAsia="Verdana" w:cs="Verdana" w:ascii="Verdana" w:hAnsi="Verdana"/>
          <w:sz w:val="20"/>
          <w:szCs w:val="20"/>
        </w:rPr>
      </w:r>
      <w:r>
        <w:br w:type="page"/>
      </w:r>
    </w:p>
    <w:p>
      <w:pPr>
        <w:pStyle w:val="Normal"/>
        <w:spacing w:before="0" w:after="0"/>
        <w:rPr>
          <w:rFonts w:ascii="Verdana" w:hAnsi="Verdana" w:eastAsia="Verdana" w:cs="Verdana"/>
          <w:sz w:val="20"/>
          <w:szCs w:val="20"/>
          <w:lang w:eastAsia="en-US" w:bidi="ar-SA"/>
        </w:rPr>
      </w:pPr>
      <w:r>
        <w:rPr>
          <w:rFonts w:eastAsia="Verdana" w:cs="Verdana" w:ascii="Verdana" w:hAnsi="Verdana"/>
          <w:sz w:val="20"/>
          <w:szCs w:val="20"/>
        </w:rPr>
        <w:t>Was Sie tun können:</w:t>
      </w:r>
    </w:p>
    <w:p>
      <w:pPr>
        <w:pStyle w:val="Normal"/>
        <w:rPr>
          <w:rFonts w:ascii="Verdana" w:hAnsi="Verdana" w:eastAsia="Verdana" w:cs="Verdana"/>
          <w:sz w:val="20"/>
          <w:szCs w:val="20"/>
        </w:rPr>
      </w:pPr>
      <w:r>
        <w:rPr>
          <w:rFonts w:eastAsia="Verdana" w:cs="Verdana" w:ascii="Verdana" w:hAnsi="Verdana"/>
          <w:sz w:val="20"/>
          <w:szCs w:val="20"/>
        </w:rPr>
        <w:t xml:space="preserve">Eine Überlastanzeige bietet Beschäftigten die Möglichkeit, auf gefährdende Situationen und ggf. auf ein Organisationsversagen aufmerksam zu machen. Sie dient dem Selbstschutz vor strafrechtlichen, arbeitsrechtlichen oder zivilrechtlichen Konsequenzen. Aus § 611 BGB und §§ 241 Abs. 2, 242 BGB resultiert die Pflicht zur Darstellung einer Überlast im Arbeitsverhältnis gegenüber dem Arbeitgeber. Beschäftigte sollen nach § 15, 16 ArbSchG auf die konkrete Situation aufmerksam machen. Eine Überlastanzeige kann dazu als Werkzeug dienen, die erlebte Situation darzustellen und Abhilfe zu schaffen. </w:t>
      </w:r>
    </w:p>
    <w:p>
      <w:pPr>
        <w:pStyle w:val="Normal"/>
        <w:rPr>
          <w:rFonts w:ascii="Verdana" w:hAnsi="Verdana" w:eastAsia="Verdana" w:cs="Verdana"/>
          <w:sz w:val="20"/>
          <w:szCs w:val="20"/>
        </w:rPr>
      </w:pPr>
      <w:r>
        <w:rPr>
          <w:rFonts w:eastAsia="Verdana" w:cs="Verdana" w:ascii="Verdana" w:hAnsi="Verdana"/>
          <w:sz w:val="20"/>
          <w:szCs w:val="20"/>
        </w:rPr>
      </w:r>
    </w:p>
    <w:p>
      <w:pPr>
        <w:pStyle w:val="Normal"/>
        <w:rPr>
          <w:rFonts w:ascii="Verdana" w:hAnsi="Verdana" w:eastAsia="Verdana" w:cs="Verdana"/>
          <w:sz w:val="20"/>
          <w:szCs w:val="20"/>
        </w:rPr>
      </w:pPr>
      <w:r>
        <w:rPr>
          <w:rFonts w:eastAsia="Verdana" w:cs="Verdana" w:ascii="Verdana" w:hAnsi="Verdana"/>
          <w:sz w:val="20"/>
          <w:szCs w:val="20"/>
        </w:rPr>
        <w:t>Sollten Sie davon betroffen sein, nutzen Sie das Formular, um den erforderlichen Hinweis an den Arbeitgeber zur Änderung der Situation zu geben und sich selbst von etwaigen Haftungsansprüchen zu entlasten.</w:t>
      </w:r>
    </w:p>
    <w:p>
      <w:pPr>
        <w:pStyle w:val="Normal"/>
        <w:rPr>
          <w:rFonts w:ascii="Verdana" w:hAnsi="Verdana" w:eastAsia="Verdana" w:cs="Verdana"/>
          <w:sz w:val="20"/>
          <w:szCs w:val="20"/>
        </w:rPr>
      </w:pPr>
      <w:r>
        <w:rPr>
          <w:rFonts w:eastAsia="Verdana" w:cs="Verdana" w:ascii="Verdana" w:hAnsi="Verdana"/>
          <w:sz w:val="20"/>
          <w:szCs w:val="20"/>
        </w:rPr>
        <w:br w:type="textWrapping" w:clear="all"/>
      </w:r>
      <w:r>
        <w:rPr>
          <w:rFonts w:eastAsia="Verdana" w:cs="Verdana" w:ascii="Verdana" w:hAnsi="Verdana"/>
          <w:sz w:val="20"/>
          <w:szCs w:val="20"/>
        </w:rPr>
        <w:t>https://intranet.hu-berlin.de/pages/tarifbeschaeftigte/apps/wiki/ueberlast/list/view/3bfb82c5-3be6-42f4-a0ac-5e9bcd9840eb</w:t>
      </w:r>
    </w:p>
    <w:p>
      <w:pPr>
        <w:pStyle w:val="Normal"/>
        <w:spacing w:lineRule="auto" w:line="276"/>
        <w:rPr>
          <w:rFonts w:ascii="Verdana" w:hAnsi="Verdana" w:eastAsia="Verdana" w:cs="Verdana"/>
          <w:sz w:val="20"/>
          <w:szCs w:val="20"/>
        </w:rPr>
      </w:pPr>
      <w:r>
        <w:rPr>
          <w:rFonts w:eastAsia="Verdana" w:cs="Verdana" w:ascii="Verdana" w:hAnsi="Verdana"/>
          <w:sz w:val="20"/>
          <w:szCs w:val="20"/>
        </w:rPr>
      </w:r>
    </w:p>
    <w:p>
      <w:pPr>
        <w:pStyle w:val="Normal"/>
        <w:jc w:val="both"/>
        <w:rPr>
          <w:rFonts w:ascii="Verdana" w:hAnsi="Verdana"/>
          <w:b/>
          <w:bCs/>
          <w:sz w:val="20"/>
          <w:szCs w:val="20"/>
        </w:rPr>
      </w:pPr>
      <w:r>
        <w:rPr>
          <w:rFonts w:ascii="Verdana" w:hAnsi="Verdana"/>
          <w:b/>
          <w:bCs/>
          <w:sz w:val="44"/>
          <w:szCs w:val="44"/>
        </w:rPr>
        <w:t>R</w:t>
      </w:r>
      <w:r>
        <w:rPr>
          <w:rFonts w:ascii="Verdana" w:hAnsi="Verdana"/>
          <w:b/>
          <w:bCs/>
          <w:sz w:val="20"/>
          <w:szCs w:val="20"/>
        </w:rPr>
        <w:t>ente</w:t>
      </w:r>
    </w:p>
    <w:p>
      <w:pPr>
        <w:pStyle w:val="Normal"/>
        <w:jc w:val="both"/>
        <w:rPr>
          <w:rFonts w:ascii="Verdana" w:hAnsi="Verdana"/>
          <w:sz w:val="20"/>
          <w:szCs w:val="20"/>
        </w:rPr>
      </w:pPr>
      <w:r>
        <w:rPr>
          <w:rFonts w:ascii="Verdana" w:hAnsi="Verdana"/>
          <w:sz w:val="20"/>
          <w:szCs w:val="20"/>
        </w:rPr>
        <w:t>Die Regelaltersrente können Sie mit nur fünf Jahren Versicherungszeit erhalten. Das ist die geringste aller Wartezeiten. Die Altersgrenze für diese Rente wird zurzeit schrittweise von 65 auf 67 Jahre angehoben. Für zum Renteneintritt schwerbehinderte Menschen wird die Grenze für die abschlagsfreie Regelaltersrente derzeit von 63 auf 65 Jahre angehoben.</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Sie haben seit Ihrer Berufsausbildung fast ununterbrochen gearbeitet und 45 Jahre mit Versicherungszeiten? Dann kommt für Sie vorrangig die Altersrente für besonders langjährig Versicherte in Frage. Diese Rente wird immer ohne Abschläge gezahlt. Vor 1953 Geborene</w:t>
      </w:r>
    </w:p>
    <w:p>
      <w:pPr>
        <w:pStyle w:val="Normal"/>
        <w:jc w:val="both"/>
        <w:rPr>
          <w:rFonts w:ascii="Verdana" w:hAnsi="Verdana"/>
          <w:sz w:val="20"/>
          <w:szCs w:val="20"/>
        </w:rPr>
      </w:pPr>
      <w:r>
        <w:rPr>
          <w:rFonts w:ascii="Verdana" w:hAnsi="Verdana"/>
          <w:sz w:val="20"/>
          <w:szCs w:val="20"/>
        </w:rPr>
        <w:t>konnten diese Rente schon ab 63 Jahren erhalten. Für Jüngere wird die Altersgrenze schrittweise auf 65 Jahre angehoben.</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Eine etwas geringere Versicherungszeit setzt die Altersrente für langjährig Versicherte voraus. Bereits mit 63 Jahren und 35 Jahren Versicherungszeiten können Sie diese Altersrente erhalten. Sie müssen dann allerdings Abschläge in Kauf nehmen. Der Abschlag beträgt 0,3 Prozent der Rente pro Monat, den sie die Rente vorzeitig in Anspruch nehmen. Der Abschlag beträgt insgesamt höchstens 14,4 Prozent und gilt lebenslang. Für zum Renteneintritt schwerbehinderte Personen besteht die Möglichkeit mit 62 Jahren nach 35 Jahren Versicherungszeit in Rente zu gehen. Auch hier beträgt der Abschlag 0,3 Prozent pro Monat, höchsten jedoch 10,8 Prozent.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Sie können Ihre Altersrente als Teilrente beziehen – egal, ob Sie zur Rente hinzuverdienen oder nicht. Dafür legen Sie die Höhe Ihrer Teilrente von vornherein selbst fest. Die Teilrente muss mindestens 10 Prozent und darf höchstens 99,99 Prozent der Vollrente betragen. Sie können die Höhe Ihrer Teilrente jederzeit für die Zukunft neu festlegen. Wenn Sie mit dem Gedanken spielen, gleitend in den Ruhestand zu wechseln, müssen Sie rechtzeitig mit Ihrem Bereich und der Personalstelle der Tarifbeschäftigten sprechen.</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Weitere Informationen finden Sie auf den Seiten der Deutschen Rentenversicherung: https://www.deutsche-rentenversicherung.de/SharedDocs/Downloads/DE/Broschueren/national/die_richtige_altersrente_fuer_sie.pdf?__blob=publicationFile&amp;v=17</w:t>
      </w:r>
    </w:p>
    <w:p>
      <w:pPr>
        <w:pStyle w:val="Normal"/>
        <w:widowControl/>
        <w:rPr>
          <w:rFonts w:ascii="Verdana" w:hAnsi="Verdana" w:cs="Verdana"/>
          <w:sz w:val="20"/>
          <w:szCs w:val="20"/>
        </w:rPr>
      </w:pPr>
      <w:r>
        <w:rPr>
          <w:rFonts w:cs="Verdana" w:ascii="Verdana" w:hAnsi="Verdana"/>
          <w:sz w:val="20"/>
          <w:szCs w:val="20"/>
        </w:rPr>
      </w:r>
      <w:r>
        <w:br w:type="page"/>
      </w:r>
    </w:p>
    <w:p>
      <w:pPr>
        <w:pStyle w:val="Normal"/>
        <w:pBdr/>
        <w:spacing w:before="0" w:after="0"/>
        <w:jc w:val="both"/>
        <w:rPr>
          <w:rFonts w:ascii="Verdana" w:hAnsi="Verdana" w:cs="Verdana"/>
          <w:sz w:val="20"/>
          <w:szCs w:val="20"/>
        </w:rPr>
      </w:pPr>
      <w:r>
        <w:rPr>
          <w:rFonts w:cs="Verdana" w:ascii="Verdana" w:hAnsi="Verdana"/>
          <w:sz w:val="20"/>
          <w:szCs w:val="20"/>
        </w:rPr>
      </w:r>
    </w:p>
    <w:p>
      <w:pPr>
        <w:pStyle w:val="Standard1"/>
        <w:jc w:val="both"/>
        <w:rPr>
          <w:rFonts w:ascii="Verdana" w:hAnsi="Verdana"/>
          <w:b/>
          <w:bCs/>
          <w:sz w:val="20"/>
          <w:szCs w:val="20"/>
        </w:rPr>
      </w:pPr>
      <w:r>
        <w:rPr>
          <w:rFonts w:ascii="Verdana" w:hAnsi="Verdana"/>
          <w:b/>
          <w:bCs/>
          <w:sz w:val="44"/>
          <w:szCs w:val="44"/>
        </w:rPr>
        <w:t>Q</w:t>
      </w:r>
      <w:r>
        <w:rPr>
          <w:rFonts w:ascii="Verdana" w:hAnsi="Verdana"/>
          <w:b/>
          <w:bCs/>
          <w:sz w:val="20"/>
          <w:szCs w:val="20"/>
        </w:rPr>
        <w:t>ualifizierungsverträge im akademischen Mittelbau</w:t>
      </w:r>
    </w:p>
    <w:p>
      <w:pPr>
        <w:pStyle w:val="Standard1"/>
        <w:jc w:val="both"/>
        <w:rPr>
          <w:rFonts w:ascii="Verdana" w:hAnsi="Verdana"/>
          <w:sz w:val="20"/>
          <w:szCs w:val="20"/>
        </w:rPr>
      </w:pPr>
      <w:r>
        <w:rPr>
          <w:rFonts w:ascii="Verdana" w:hAnsi="Verdana"/>
          <w:sz w:val="20"/>
          <w:szCs w:val="20"/>
        </w:rPr>
        <w:t>Wissenschaftlichen Mitarbeiter:innen auf Haushaltsstellen zur Qualifikation, die ab dem 01.01.2026 an der HU beginnen, müssen mindestens 66,66 %, bei Post-Docs mit 100 % Arbeitszeitanteil angeboten werden. Ausnahmen sind möglich, wenn z.B. Stipendien oder parallele Beschäftigungen diese Beschäftigungsumfänge nicht zulassen. Verträge zur Promotion müssen eine Mindestlaufzeit von 4 Jahren haben.</w:t>
      </w:r>
    </w:p>
    <w:p>
      <w:pPr>
        <w:pStyle w:val="Standard1"/>
        <w:jc w:val="both"/>
        <w:rPr>
          <w:rFonts w:ascii="Verdana" w:hAnsi="Verdana"/>
          <w:sz w:val="20"/>
          <w:szCs w:val="20"/>
        </w:rPr>
      </w:pPr>
      <w:r>
        <w:rPr>
          <w:rFonts w:ascii="Verdana" w:hAnsi="Verdana"/>
          <w:sz w:val="20"/>
          <w:szCs w:val="20"/>
        </w:rPr>
      </w:r>
    </w:p>
    <w:p>
      <w:pPr>
        <w:pStyle w:val="Standard1"/>
        <w:jc w:val="both"/>
        <w:rPr>
          <w:rFonts w:ascii="Verdana" w:hAnsi="Verdana"/>
          <w:sz w:val="20"/>
          <w:szCs w:val="20"/>
        </w:rPr>
      </w:pPr>
      <w:r>
        <w:rPr>
          <w:rFonts w:ascii="Verdana" w:hAnsi="Verdana"/>
          <w:sz w:val="20"/>
          <w:szCs w:val="20"/>
        </w:rPr>
        <w:t>Für Post-Docs wird es leider keinen Anspruch auf eine unbefristete Anschlussoption geben. Das Bundesverfassungsgericht hat die die Regelung des § 110 Abs. 6 des Berliner Hochschulgesetzes - BerlHG für verfassungswidrig erklärt, weil der Bund mit dem Wissenschaftszeitvertragsgesetz – WissZeitVG eine abschließende Regelung für die Befristung von wissenschaftlichem Personal an Hochschulen getroffen hat.</w:t>
      </w:r>
    </w:p>
    <w:p>
      <w:pPr>
        <w:pStyle w:val="Standard1"/>
        <w:jc w:val="both"/>
        <w:rPr>
          <w:rFonts w:ascii="Verdana" w:hAnsi="Verdana"/>
          <w:sz w:val="20"/>
          <w:szCs w:val="20"/>
        </w:rPr>
      </w:pPr>
      <w:r>
        <w:rPr>
          <w:rFonts w:ascii="Verdana" w:hAnsi="Verdana"/>
          <w:sz w:val="20"/>
          <w:szCs w:val="20"/>
        </w:rPr>
      </w:r>
    </w:p>
    <w:p>
      <w:pPr>
        <w:pStyle w:val="Standard1"/>
        <w:jc w:val="both"/>
        <w:rPr>
          <w:rFonts w:ascii="Verdana" w:hAnsi="Verdana"/>
          <w:sz w:val="20"/>
          <w:szCs w:val="20"/>
        </w:rPr>
      </w:pPr>
      <w:r>
        <w:rPr>
          <w:rFonts w:ascii="Verdana" w:hAnsi="Verdana"/>
          <w:sz w:val="20"/>
          <w:szCs w:val="20"/>
        </w:rPr>
        <w:t>Das BerlHG wird daher gerade vom Berliner Landesgesetzgeber überarbeitet. Es ist die Schaffung einer neuen Personalkategorie des akademischen Mittelbaus, des Lektors mit den Spezialisierungen Lecturer und Researcher geplant. Die nicht zielführende Personalkategorie des wissenschaftlichen Mitarbeitenden mit dem Schwerpunkt in der Lehre soll dabei abgeschafft werden. Sobald das Gesetz novelliert ist, muss die Richtlinie für den akademischen Mittelbau daran angepasst. Dies gilt auch für das vom Akademischen Senat der HU beschlossene Zwei-Pfade-Modell. Die Erhöhung der Dauerstellen als wiss. Mitarbeitender oder als Lektor sollte dabei deutlich ausfallen.</w:t>
      </w:r>
    </w:p>
    <w:p>
      <w:pPr>
        <w:pStyle w:val="Normal"/>
        <w:pBdr/>
        <w:spacing w:lineRule="auto" w:line="276" w:before="0" w:after="200"/>
        <w:rPr>
          <w:rFonts w:ascii="Verdana" w:hAnsi="Verdana" w:cs="Verdana"/>
          <w:sz w:val="20"/>
          <w:szCs w:val="20"/>
        </w:rPr>
      </w:pPr>
      <w:r>
        <w:rPr>
          <w:rFonts w:cs="Verdana" w:ascii="Verdana" w:hAnsi="Verdana"/>
          <w:sz w:val="20"/>
          <w:szCs w:val="20"/>
        </w:rPr>
      </w:r>
    </w:p>
    <w:p>
      <w:pPr>
        <w:pStyle w:val="Normal"/>
        <w:pBdr/>
        <w:spacing w:lineRule="auto" w:line="276" w:before="0" w:after="200"/>
        <w:rPr>
          <w:rFonts w:ascii="Verdana" w:hAnsi="Verdana" w:cs="Verdana"/>
          <w:sz w:val="20"/>
          <w:szCs w:val="20"/>
        </w:rPr>
      </w:pPr>
      <w:r>
        <w:rPr>
          <w:rFonts w:cs="Verdana"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center"/>
        <w:rPr>
          <w:rFonts w:ascii="Verdana" w:hAnsi="Verdana" w:cs="Verdana"/>
          <w:b/>
          <w:sz w:val="20"/>
          <w:szCs w:val="20"/>
        </w:rPr>
      </w:pPr>
      <w:r>
        <w:rPr>
          <w:rFonts w:cs="Verdana" w:ascii="Verdana" w:hAnsi="Verdana"/>
          <w:b/>
          <w:sz w:val="20"/>
          <w:szCs w:val="20"/>
        </w:rPr>
        <w:t>Bitte informieren Sie sich auch laufend auf den Personalrats- und Gewerkschaftsseiten:</w:t>
      </w:r>
    </w:p>
    <w:p>
      <w:pPr>
        <w:pStyle w:val="Normal"/>
        <w:jc w:val="center"/>
        <w:rPr>
          <w:rFonts w:ascii="Verdana" w:hAnsi="Verdana" w:cs="Verdana"/>
          <w:b/>
          <w:sz w:val="20"/>
          <w:szCs w:val="20"/>
        </w:rPr>
      </w:pPr>
      <w:r>
        <w:rPr>
          <w:rFonts w:cs="Verdana" w:ascii="Verdana" w:hAnsi="Verdana"/>
          <w:b/>
          <w:sz w:val="20"/>
          <w:szCs w:val="20"/>
        </w:rPr>
      </w:r>
    </w:p>
    <w:p>
      <w:pPr>
        <w:pStyle w:val="Normal"/>
        <w:ind w:right="-108"/>
        <w:rPr>
          <w:rFonts w:ascii="Verdana" w:hAnsi="Verdana" w:cs="Verdana"/>
          <w:spacing w:val="-2"/>
          <w:sz w:val="20"/>
          <w:szCs w:val="20"/>
        </w:rPr>
      </w:pPr>
      <w:r>
        <w:rPr>
          <w:rFonts w:cs="Verdana" w:ascii="Verdana" w:hAnsi="Verdana"/>
          <w:spacing w:val="-2"/>
          <w:sz w:val="20"/>
          <w:szCs w:val="20"/>
        </w:rPr>
      </w:r>
    </w:p>
    <w:p>
      <w:pPr>
        <w:pStyle w:val="Normal"/>
        <w:ind w:right="-108"/>
        <w:jc w:val="center"/>
        <w:rPr>
          <w:rFonts w:ascii="Verdana" w:hAnsi="Verdana" w:cs="Verdana"/>
          <w:spacing w:val="-2"/>
          <w:sz w:val="20"/>
          <w:szCs w:val="20"/>
        </w:rPr>
      </w:pPr>
      <w:hyperlink r:id="rId19" w:tooltip="https://vertretungen.hu-berlin.de/de/personalrat">
        <w:r>
          <w:rPr>
            <w:rStyle w:val="Hyperlink"/>
            <w:rFonts w:cs="Verdana" w:ascii="Verdana" w:hAnsi="Verdana"/>
            <w:spacing w:val="-2"/>
            <w:sz w:val="20"/>
            <w:szCs w:val="20"/>
          </w:rPr>
          <w:t>https://vertretungen.hu-berlin.de/de/personalrat</w:t>
        </w:r>
      </w:hyperlink>
    </w:p>
    <w:p>
      <w:pPr>
        <w:pStyle w:val="Normal"/>
        <w:ind w:right="-108"/>
        <w:rPr>
          <w:rFonts w:ascii="Verdana" w:hAnsi="Verdana" w:cs="Verdana"/>
          <w:spacing w:val="-2"/>
          <w:sz w:val="20"/>
          <w:szCs w:val="20"/>
        </w:rPr>
      </w:pPr>
      <w:r>
        <w:rPr>
          <w:rFonts w:cs="Verdana" w:ascii="Verdana" w:hAnsi="Verdana"/>
          <w:spacing w:val="-2"/>
          <w:sz w:val="20"/>
          <w:szCs w:val="20"/>
        </w:rPr>
      </w:r>
    </w:p>
    <w:p>
      <w:pPr>
        <w:pStyle w:val="Normal"/>
        <w:ind w:right="-108"/>
        <w:jc w:val="center"/>
        <w:rPr>
          <w:rFonts w:ascii="Verdana" w:hAnsi="Verdana"/>
          <w:sz w:val="20"/>
          <w:szCs w:val="20"/>
        </w:rPr>
      </w:pPr>
      <w:hyperlink r:id="rId20" w:tooltip="http://bb.verdi.de">
        <w:r>
          <w:rPr>
            <w:rStyle w:val="Hyperlink"/>
            <w:rFonts w:cs="Verdana" w:ascii="Verdana" w:hAnsi="Verdana"/>
            <w:color w:val="auto"/>
            <w:spacing w:val="-2"/>
            <w:sz w:val="20"/>
            <w:szCs w:val="20"/>
            <w:u w:val="none"/>
          </w:rPr>
          <w:t>http://bb.verdi.de</w:t>
        </w:r>
      </w:hyperlink>
    </w:p>
    <w:p>
      <w:pPr>
        <w:pStyle w:val="Normal"/>
        <w:ind w:right="-108"/>
        <w:jc w:val="center"/>
        <w:rPr>
          <w:rFonts w:ascii="Verdana" w:hAnsi="Verdana"/>
          <w:sz w:val="20"/>
          <w:szCs w:val="20"/>
        </w:rPr>
      </w:pPr>
      <w:r>
        <w:rPr>
          <w:rFonts w:ascii="Verdana" w:hAnsi="Verdana"/>
          <w:sz w:val="20"/>
          <w:szCs w:val="20"/>
        </w:rPr>
      </w:r>
    </w:p>
    <w:p>
      <w:pPr>
        <w:pStyle w:val="Normal"/>
        <w:ind w:right="-108"/>
        <w:jc w:val="center"/>
        <w:rPr>
          <w:rFonts w:ascii="Verdana" w:hAnsi="Verdana"/>
          <w:sz w:val="20"/>
          <w:szCs w:val="20"/>
        </w:rPr>
      </w:pPr>
      <w:hyperlink r:id="rId21" w:tooltip="http://gew-berlin.de">
        <w:r>
          <w:rPr>
            <w:rStyle w:val="Hyperlink"/>
            <w:rFonts w:cs="Verdana" w:ascii="Verdana" w:hAnsi="Verdana"/>
            <w:color w:val="auto"/>
            <w:spacing w:val="-2"/>
            <w:sz w:val="20"/>
            <w:szCs w:val="20"/>
            <w:u w:val="none"/>
          </w:rPr>
          <w:t>http://gew-berlin.de</w:t>
        </w:r>
      </w:hyperlink>
    </w:p>
    <w:sectPr>
      <w:headerReference w:type="even" r:id="rId22"/>
      <w:headerReference w:type="default" r:id="rId23"/>
      <w:headerReference w:type="first" r:id="rId24"/>
      <w:type w:val="nextPage"/>
      <w:pgSz w:w="11906" w:h="16838"/>
      <w:pgMar w:left="1417" w:right="1417" w:gutter="0" w:header="708" w:top="1417"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mic Sans MS">
    <w:charset w:val="00"/>
    <w:family w:val="roman"/>
    <w:pitch w:val="variable"/>
  </w:font>
  <w:font w:name="Calibri Light">
    <w:charset w:val="00"/>
    <w:family w:val="roman"/>
    <w:pitch w:val="variable"/>
  </w:font>
  <w:font w:name="Segoe UI">
    <w:charset w:val="00"/>
    <w:family w:val="swiss"/>
    <w:pitch w:val="variable"/>
  </w:font>
  <w:font w:name="Liberation Sans">
    <w:altName w:val="Arial"/>
    <w:charset w:val="00"/>
    <w:family w:val="swiss"/>
    <w:pitch w:val="variable"/>
  </w:font>
  <w:font w:name="Verdana">
    <w:charset w:val="00"/>
    <w:family w:val="swiss"/>
    <w:pitch w:val="variable"/>
  </w:font>
  <w:font w:name="Cambria Math">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93448615"/>
    </w:sdtPr>
    <w:sdtContent>
      <w:p>
        <w:pPr>
          <w:pStyle w:val="Header"/>
          <w:jc w:val="center"/>
          <w:rPr/>
        </w:pPr>
        <w:r>
          <w:rPr/>
          <w:fldChar w:fldCharType="begin"/>
        </w:r>
        <w:r>
          <w:rPr/>
          <w:instrText xml:space="preserve"> PAGE </w:instrText>
        </w:r>
        <w:r>
          <w:rPr/>
          <w:fldChar w:fldCharType="separate"/>
        </w:r>
        <w:r>
          <w:rPr/>
          <w:t>14</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09" w:hanging="360"/>
      </w:pPr>
      <w:rPr>
        <w:rFonts w:ascii="Symbol" w:hAnsi="Symbol" w:cs="Symbol" w:hint="default"/>
      </w:rPr>
    </w:lvl>
    <w:lvl w:ilvl="1">
      <w:start w:val="1"/>
      <w:numFmt w:val="bullet"/>
      <w:lvlText w:val="·"/>
      <w:lvlJc w:val="left"/>
      <w:pPr>
        <w:tabs>
          <w:tab w:val="num" w:pos="0"/>
        </w:tabs>
        <w:ind w:left="1429" w:hanging="360"/>
      </w:pPr>
      <w:rPr>
        <w:rFonts w:ascii="Symbol" w:hAnsi="Symbol" w:cs="Symbol" w:hint="default"/>
      </w:rPr>
    </w:lvl>
    <w:lvl w:ilvl="2">
      <w:start w:val="1"/>
      <w:numFmt w:val="bullet"/>
      <w:lvlText w:val="·"/>
      <w:lvlJc w:val="left"/>
      <w:pPr>
        <w:tabs>
          <w:tab w:val="num" w:pos="0"/>
        </w:tabs>
        <w:ind w:left="2149" w:hanging="360"/>
      </w:pPr>
      <w:rPr>
        <w:rFonts w:ascii="Symbol" w:hAnsi="Symbol" w:cs="Symbol"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
      <w:lvlJc w:val="left"/>
      <w:pPr>
        <w:tabs>
          <w:tab w:val="num" w:pos="0"/>
        </w:tabs>
        <w:ind w:left="3589" w:hanging="360"/>
      </w:pPr>
      <w:rPr>
        <w:rFonts w:ascii="Symbol" w:hAnsi="Symbol" w:cs="Symbol" w:hint="default"/>
      </w:rPr>
    </w:lvl>
    <w:lvl w:ilvl="5">
      <w:start w:val="1"/>
      <w:numFmt w:val="bullet"/>
      <w:lvlText w:val="·"/>
      <w:lvlJc w:val="left"/>
      <w:pPr>
        <w:tabs>
          <w:tab w:val="num" w:pos="0"/>
        </w:tabs>
        <w:ind w:left="4309" w:hanging="360"/>
      </w:pPr>
      <w:rPr>
        <w:rFonts w:ascii="Symbol" w:hAnsi="Symbol" w:cs="Symbol"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
      <w:lvlJc w:val="left"/>
      <w:pPr>
        <w:tabs>
          <w:tab w:val="num" w:pos="0"/>
        </w:tabs>
        <w:ind w:left="5749" w:hanging="360"/>
      </w:pPr>
      <w:rPr>
        <w:rFonts w:ascii="Symbol" w:hAnsi="Symbol" w:cs="Symbol" w:hint="default"/>
      </w:rPr>
    </w:lvl>
    <w:lvl w:ilvl="8">
      <w:start w:val="1"/>
      <w:numFmt w:val="bullet"/>
      <w:lvlText w:val="·"/>
      <w:lvlJc w:val="left"/>
      <w:pPr>
        <w:tabs>
          <w:tab w:val="num" w:pos="0"/>
        </w:tabs>
        <w:ind w:left="6469" w:hanging="360"/>
      </w:pPr>
      <w:rPr>
        <w:rFonts w:ascii="Symbol" w:hAnsi="Symbol" w:cs="Symbol" w:hint="default"/>
      </w:rPr>
    </w:lvl>
  </w:abstractNum>
  <w:abstractNum w:abstractNumId="3">
    <w:lvl w:ilvl="0">
      <w:start w:val="1"/>
      <w:numFmt w:val="bullet"/>
      <w:lvlText w:val="·"/>
      <w:lvlJc w:val="left"/>
      <w:pPr>
        <w:tabs>
          <w:tab w:val="num" w:pos="0"/>
        </w:tabs>
        <w:ind w:left="709" w:hanging="360"/>
      </w:pPr>
      <w:rPr>
        <w:rFonts w:ascii="Symbol" w:hAnsi="Symbol" w:cs="Symbol" w:hint="default"/>
      </w:rPr>
    </w:lvl>
    <w:lvl w:ilvl="1">
      <w:start w:val="1"/>
      <w:numFmt w:val="bullet"/>
      <w:lvlText w:val="·"/>
      <w:lvlJc w:val="left"/>
      <w:pPr>
        <w:tabs>
          <w:tab w:val="num" w:pos="0"/>
        </w:tabs>
        <w:ind w:left="1429" w:hanging="360"/>
      </w:pPr>
      <w:rPr>
        <w:rFonts w:ascii="Symbol" w:hAnsi="Symbol" w:cs="Symbol" w:hint="default"/>
      </w:rPr>
    </w:lvl>
    <w:lvl w:ilvl="2">
      <w:start w:val="1"/>
      <w:numFmt w:val="bullet"/>
      <w:lvlText w:val="·"/>
      <w:lvlJc w:val="left"/>
      <w:pPr>
        <w:tabs>
          <w:tab w:val="num" w:pos="0"/>
        </w:tabs>
        <w:ind w:left="2149" w:hanging="360"/>
      </w:pPr>
      <w:rPr>
        <w:rFonts w:ascii="Symbol" w:hAnsi="Symbol" w:cs="Symbol"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
      <w:lvlJc w:val="left"/>
      <w:pPr>
        <w:tabs>
          <w:tab w:val="num" w:pos="0"/>
        </w:tabs>
        <w:ind w:left="3589" w:hanging="360"/>
      </w:pPr>
      <w:rPr>
        <w:rFonts w:ascii="Symbol" w:hAnsi="Symbol" w:cs="Symbol" w:hint="default"/>
      </w:rPr>
    </w:lvl>
    <w:lvl w:ilvl="5">
      <w:start w:val="1"/>
      <w:numFmt w:val="bullet"/>
      <w:lvlText w:val="·"/>
      <w:lvlJc w:val="left"/>
      <w:pPr>
        <w:tabs>
          <w:tab w:val="num" w:pos="0"/>
        </w:tabs>
        <w:ind w:left="4309" w:hanging="360"/>
      </w:pPr>
      <w:rPr>
        <w:rFonts w:ascii="Symbol" w:hAnsi="Symbol" w:cs="Symbol"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
      <w:lvlJc w:val="left"/>
      <w:pPr>
        <w:tabs>
          <w:tab w:val="num" w:pos="0"/>
        </w:tabs>
        <w:ind w:left="5749" w:hanging="360"/>
      </w:pPr>
      <w:rPr>
        <w:rFonts w:ascii="Symbol" w:hAnsi="Symbol" w:cs="Symbol" w:hint="default"/>
      </w:rPr>
    </w:lvl>
    <w:lvl w:ilvl="8">
      <w:start w:val="1"/>
      <w:numFmt w:val="bullet"/>
      <w:lvlText w:val="·"/>
      <w:lvlJc w:val="left"/>
      <w:pPr>
        <w:tabs>
          <w:tab w:val="num" w:pos="0"/>
        </w:tabs>
        <w:ind w:left="6469" w:hanging="360"/>
      </w:pPr>
      <w:rPr>
        <w:rFonts w:ascii="Symbol" w:hAnsi="Symbol" w:cs="Symbol" w:hint="default"/>
      </w:rPr>
    </w:lvl>
  </w:abstractNum>
  <w:abstractNum w:abstractNumId="4">
    <w:lvl w:ilvl="0">
      <w:start w:val="1"/>
      <w:numFmt w:val="bullet"/>
      <w:lvlText w:val="·"/>
      <w:lvlJc w:val="left"/>
      <w:pPr>
        <w:tabs>
          <w:tab w:val="num" w:pos="0"/>
        </w:tabs>
        <w:ind w:left="709" w:hanging="360"/>
      </w:pPr>
      <w:rPr>
        <w:rFonts w:ascii="Symbol" w:hAnsi="Symbol" w:cs="Symbol" w:hint="default"/>
        <w:sz w:val="24"/>
        <w:color w:val="000000"/>
      </w:rPr>
    </w:lvl>
    <w:lvl w:ilvl="1">
      <w:start w:val="1"/>
      <w:numFmt w:val="bullet"/>
      <w:lvlText w:val="·"/>
      <w:lvlJc w:val="left"/>
      <w:pPr>
        <w:tabs>
          <w:tab w:val="num" w:pos="0"/>
        </w:tabs>
        <w:ind w:left="1429" w:hanging="360"/>
      </w:pPr>
      <w:rPr>
        <w:rFonts w:ascii="Symbol" w:hAnsi="Symbol" w:cs="Symbol" w:hint="default"/>
        <w:sz w:val="24"/>
        <w:color w:val="000000"/>
      </w:rPr>
    </w:lvl>
    <w:lvl w:ilvl="2">
      <w:start w:val="1"/>
      <w:numFmt w:val="bullet"/>
      <w:lvlText w:val="·"/>
      <w:lvlJc w:val="left"/>
      <w:pPr>
        <w:tabs>
          <w:tab w:val="num" w:pos="0"/>
        </w:tabs>
        <w:ind w:left="2149" w:hanging="360"/>
      </w:pPr>
      <w:rPr>
        <w:rFonts w:ascii="Symbol" w:hAnsi="Symbol" w:cs="Symbol" w:hint="default"/>
        <w:sz w:val="24"/>
        <w:color w:val="000000"/>
      </w:rPr>
    </w:lvl>
    <w:lvl w:ilvl="3">
      <w:start w:val="1"/>
      <w:numFmt w:val="bullet"/>
      <w:lvlText w:val="·"/>
      <w:lvlJc w:val="left"/>
      <w:pPr>
        <w:tabs>
          <w:tab w:val="num" w:pos="0"/>
        </w:tabs>
        <w:ind w:left="2869" w:hanging="360"/>
      </w:pPr>
      <w:rPr>
        <w:rFonts w:ascii="Symbol" w:hAnsi="Symbol" w:cs="Symbol" w:hint="default"/>
        <w:sz w:val="24"/>
        <w:color w:val="000000"/>
      </w:rPr>
    </w:lvl>
    <w:lvl w:ilvl="4">
      <w:start w:val="1"/>
      <w:numFmt w:val="bullet"/>
      <w:lvlText w:val="·"/>
      <w:lvlJc w:val="left"/>
      <w:pPr>
        <w:tabs>
          <w:tab w:val="num" w:pos="0"/>
        </w:tabs>
        <w:ind w:left="3589" w:hanging="360"/>
      </w:pPr>
      <w:rPr>
        <w:rFonts w:ascii="Symbol" w:hAnsi="Symbol" w:cs="Symbol" w:hint="default"/>
        <w:sz w:val="24"/>
        <w:color w:val="000000"/>
      </w:rPr>
    </w:lvl>
    <w:lvl w:ilvl="5">
      <w:start w:val="1"/>
      <w:numFmt w:val="bullet"/>
      <w:lvlText w:val="·"/>
      <w:lvlJc w:val="left"/>
      <w:pPr>
        <w:tabs>
          <w:tab w:val="num" w:pos="0"/>
        </w:tabs>
        <w:ind w:left="4309" w:hanging="360"/>
      </w:pPr>
      <w:rPr>
        <w:rFonts w:ascii="Symbol" w:hAnsi="Symbol" w:cs="Symbol" w:hint="default"/>
        <w:sz w:val="24"/>
        <w:color w:val="000000"/>
      </w:rPr>
    </w:lvl>
    <w:lvl w:ilvl="6">
      <w:start w:val="1"/>
      <w:numFmt w:val="bullet"/>
      <w:lvlText w:val="·"/>
      <w:lvlJc w:val="left"/>
      <w:pPr>
        <w:tabs>
          <w:tab w:val="num" w:pos="0"/>
        </w:tabs>
        <w:ind w:left="5029" w:hanging="360"/>
      </w:pPr>
      <w:rPr>
        <w:rFonts w:ascii="Symbol" w:hAnsi="Symbol" w:cs="Symbol" w:hint="default"/>
        <w:sz w:val="24"/>
        <w:color w:val="000000"/>
      </w:rPr>
    </w:lvl>
    <w:lvl w:ilvl="7">
      <w:start w:val="1"/>
      <w:numFmt w:val="bullet"/>
      <w:lvlText w:val="·"/>
      <w:lvlJc w:val="left"/>
      <w:pPr>
        <w:tabs>
          <w:tab w:val="num" w:pos="0"/>
        </w:tabs>
        <w:ind w:left="5749" w:hanging="360"/>
      </w:pPr>
      <w:rPr>
        <w:rFonts w:ascii="Symbol" w:hAnsi="Symbol" w:cs="Symbol" w:hint="default"/>
        <w:sz w:val="24"/>
        <w:color w:val="000000"/>
      </w:rPr>
    </w:lvl>
    <w:lvl w:ilvl="8">
      <w:start w:val="1"/>
      <w:numFmt w:val="bullet"/>
      <w:lvlText w:val="·"/>
      <w:lvlJc w:val="left"/>
      <w:pPr>
        <w:tabs>
          <w:tab w:val="num" w:pos="0"/>
        </w:tabs>
        <w:ind w:left="6469" w:hanging="360"/>
      </w:pPr>
      <w:rPr>
        <w:rFonts w:ascii="Symbol" w:hAnsi="Symbol" w:cs="Symbol" w:hint="default"/>
        <w:sz w:val="24"/>
        <w:color w:val="00000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0"/>
        </w:tabs>
        <w:ind w:left="709" w:hanging="360"/>
      </w:pPr>
      <w:rPr>
        <w:rFonts w:ascii="Symbol" w:hAnsi="Symbol" w:cs="Symbo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8">
    <w:lvl w:ilvl="0">
      <w:start w:val="1"/>
      <w:numFmt w:val="bullet"/>
      <w:lvlText w:val="·"/>
      <w:lvlJc w:val="left"/>
      <w:pPr>
        <w:tabs>
          <w:tab w:val="num" w:pos="0"/>
        </w:tabs>
        <w:ind w:left="709" w:hanging="360"/>
      </w:pPr>
      <w:rPr>
        <w:rFonts w:ascii="Symbol" w:hAnsi="Symbol" w:cs="Symbol" w:hint="default"/>
        <w:sz w:val="24"/>
        <w:color w:val="000000"/>
      </w:rPr>
    </w:lvl>
    <w:lvl w:ilvl="1">
      <w:start w:val="1"/>
      <w:numFmt w:val="bullet"/>
      <w:lvlText w:val="·"/>
      <w:lvlJc w:val="left"/>
      <w:pPr>
        <w:tabs>
          <w:tab w:val="num" w:pos="0"/>
        </w:tabs>
        <w:ind w:left="1429" w:hanging="360"/>
      </w:pPr>
      <w:rPr>
        <w:rFonts w:ascii="Symbol" w:hAnsi="Symbol" w:cs="Symbol" w:hint="default"/>
        <w:sz w:val="24"/>
        <w:color w:val="000000"/>
      </w:rPr>
    </w:lvl>
    <w:lvl w:ilvl="2">
      <w:start w:val="1"/>
      <w:numFmt w:val="bullet"/>
      <w:lvlText w:val="·"/>
      <w:lvlJc w:val="left"/>
      <w:pPr>
        <w:tabs>
          <w:tab w:val="num" w:pos="0"/>
        </w:tabs>
        <w:ind w:left="2149" w:hanging="360"/>
      </w:pPr>
      <w:rPr>
        <w:rFonts w:ascii="Symbol" w:hAnsi="Symbol" w:cs="Symbol" w:hint="default"/>
        <w:sz w:val="24"/>
        <w:color w:val="000000"/>
      </w:rPr>
    </w:lvl>
    <w:lvl w:ilvl="3">
      <w:start w:val="1"/>
      <w:numFmt w:val="bullet"/>
      <w:lvlText w:val="·"/>
      <w:lvlJc w:val="left"/>
      <w:pPr>
        <w:tabs>
          <w:tab w:val="num" w:pos="0"/>
        </w:tabs>
        <w:ind w:left="2869" w:hanging="360"/>
      </w:pPr>
      <w:rPr>
        <w:rFonts w:ascii="Symbol" w:hAnsi="Symbol" w:cs="Symbol" w:hint="default"/>
        <w:sz w:val="24"/>
        <w:color w:val="000000"/>
      </w:rPr>
    </w:lvl>
    <w:lvl w:ilvl="4">
      <w:start w:val="1"/>
      <w:numFmt w:val="bullet"/>
      <w:lvlText w:val="·"/>
      <w:lvlJc w:val="left"/>
      <w:pPr>
        <w:tabs>
          <w:tab w:val="num" w:pos="0"/>
        </w:tabs>
        <w:ind w:left="3589" w:hanging="360"/>
      </w:pPr>
      <w:rPr>
        <w:rFonts w:ascii="Symbol" w:hAnsi="Symbol" w:cs="Symbol" w:hint="default"/>
        <w:sz w:val="24"/>
        <w:color w:val="000000"/>
      </w:rPr>
    </w:lvl>
    <w:lvl w:ilvl="5">
      <w:start w:val="1"/>
      <w:numFmt w:val="bullet"/>
      <w:lvlText w:val="·"/>
      <w:lvlJc w:val="left"/>
      <w:pPr>
        <w:tabs>
          <w:tab w:val="num" w:pos="0"/>
        </w:tabs>
        <w:ind w:left="4309" w:hanging="360"/>
      </w:pPr>
      <w:rPr>
        <w:rFonts w:ascii="Symbol" w:hAnsi="Symbol" w:cs="Symbol" w:hint="default"/>
        <w:sz w:val="24"/>
        <w:color w:val="000000"/>
      </w:rPr>
    </w:lvl>
    <w:lvl w:ilvl="6">
      <w:start w:val="1"/>
      <w:numFmt w:val="bullet"/>
      <w:lvlText w:val="·"/>
      <w:lvlJc w:val="left"/>
      <w:pPr>
        <w:tabs>
          <w:tab w:val="num" w:pos="0"/>
        </w:tabs>
        <w:ind w:left="5029" w:hanging="360"/>
      </w:pPr>
      <w:rPr>
        <w:rFonts w:ascii="Symbol" w:hAnsi="Symbol" w:cs="Symbol" w:hint="default"/>
        <w:sz w:val="24"/>
        <w:color w:val="000000"/>
      </w:rPr>
    </w:lvl>
    <w:lvl w:ilvl="7">
      <w:start w:val="1"/>
      <w:numFmt w:val="bullet"/>
      <w:lvlText w:val="·"/>
      <w:lvlJc w:val="left"/>
      <w:pPr>
        <w:tabs>
          <w:tab w:val="num" w:pos="0"/>
        </w:tabs>
        <w:ind w:left="5749" w:hanging="360"/>
      </w:pPr>
      <w:rPr>
        <w:rFonts w:ascii="Symbol" w:hAnsi="Symbol" w:cs="Symbol" w:hint="default"/>
        <w:sz w:val="24"/>
        <w:color w:val="000000"/>
      </w:rPr>
    </w:lvl>
    <w:lvl w:ilvl="8">
      <w:start w:val="1"/>
      <w:numFmt w:val="bullet"/>
      <w:lvlText w:val="·"/>
      <w:lvlJc w:val="left"/>
      <w:pPr>
        <w:tabs>
          <w:tab w:val="num" w:pos="0"/>
        </w:tabs>
        <w:ind w:left="6469" w:hanging="360"/>
      </w:pPr>
      <w:rPr>
        <w:rFonts w:ascii="Symbol" w:hAnsi="Symbol" w:cs="Symbol" w:hint="default"/>
        <w:sz w:val="24"/>
        <w:color w:val="000000"/>
      </w:rPr>
    </w:lvl>
  </w:abstractNum>
  <w:abstractNum w:abstractNumId="9">
    <w:lvl w:ilvl="0">
      <w:start w:val="1"/>
      <w:numFmt w:val="bullet"/>
      <w:lvlText w:val="·"/>
      <w:lvlJc w:val="left"/>
      <w:pPr>
        <w:tabs>
          <w:tab w:val="num" w:pos="0"/>
        </w:tabs>
        <w:ind w:left="709" w:hanging="360"/>
      </w:pPr>
      <w:rPr>
        <w:rFonts w:ascii="Symbol" w:hAnsi="Symbol" w:cs="Symbol" w:hint="default"/>
        <w:sz w:val="24"/>
        <w:color w:val="000000"/>
      </w:rPr>
    </w:lvl>
    <w:lvl w:ilvl="1">
      <w:start w:val="1"/>
      <w:numFmt w:val="bullet"/>
      <w:lvlText w:val="·"/>
      <w:lvlJc w:val="left"/>
      <w:pPr>
        <w:tabs>
          <w:tab w:val="num" w:pos="0"/>
        </w:tabs>
        <w:ind w:left="1429" w:hanging="360"/>
      </w:pPr>
      <w:rPr>
        <w:rFonts w:ascii="Symbol" w:hAnsi="Symbol" w:cs="Symbol" w:hint="default"/>
        <w:sz w:val="24"/>
        <w:color w:val="000000"/>
      </w:rPr>
    </w:lvl>
    <w:lvl w:ilvl="2">
      <w:start w:val="1"/>
      <w:numFmt w:val="bullet"/>
      <w:lvlText w:val="·"/>
      <w:lvlJc w:val="left"/>
      <w:pPr>
        <w:tabs>
          <w:tab w:val="num" w:pos="0"/>
        </w:tabs>
        <w:ind w:left="2149" w:hanging="360"/>
      </w:pPr>
      <w:rPr>
        <w:rFonts w:ascii="Symbol" w:hAnsi="Symbol" w:cs="Symbol" w:hint="default"/>
        <w:sz w:val="24"/>
        <w:color w:val="000000"/>
      </w:rPr>
    </w:lvl>
    <w:lvl w:ilvl="3">
      <w:start w:val="1"/>
      <w:numFmt w:val="bullet"/>
      <w:lvlText w:val="·"/>
      <w:lvlJc w:val="left"/>
      <w:pPr>
        <w:tabs>
          <w:tab w:val="num" w:pos="0"/>
        </w:tabs>
        <w:ind w:left="2869" w:hanging="360"/>
      </w:pPr>
      <w:rPr>
        <w:rFonts w:ascii="Symbol" w:hAnsi="Symbol" w:cs="Symbol" w:hint="default"/>
        <w:sz w:val="24"/>
        <w:color w:val="000000"/>
      </w:rPr>
    </w:lvl>
    <w:lvl w:ilvl="4">
      <w:start w:val="1"/>
      <w:numFmt w:val="bullet"/>
      <w:lvlText w:val="·"/>
      <w:lvlJc w:val="left"/>
      <w:pPr>
        <w:tabs>
          <w:tab w:val="num" w:pos="0"/>
        </w:tabs>
        <w:ind w:left="3589" w:hanging="360"/>
      </w:pPr>
      <w:rPr>
        <w:rFonts w:ascii="Symbol" w:hAnsi="Symbol" w:cs="Symbol" w:hint="default"/>
        <w:sz w:val="24"/>
        <w:color w:val="000000"/>
      </w:rPr>
    </w:lvl>
    <w:lvl w:ilvl="5">
      <w:start w:val="1"/>
      <w:numFmt w:val="bullet"/>
      <w:lvlText w:val="·"/>
      <w:lvlJc w:val="left"/>
      <w:pPr>
        <w:tabs>
          <w:tab w:val="num" w:pos="0"/>
        </w:tabs>
        <w:ind w:left="4309" w:hanging="360"/>
      </w:pPr>
      <w:rPr>
        <w:rFonts w:ascii="Symbol" w:hAnsi="Symbol" w:cs="Symbol" w:hint="default"/>
        <w:sz w:val="24"/>
        <w:color w:val="000000"/>
      </w:rPr>
    </w:lvl>
    <w:lvl w:ilvl="6">
      <w:start w:val="1"/>
      <w:numFmt w:val="bullet"/>
      <w:lvlText w:val="·"/>
      <w:lvlJc w:val="left"/>
      <w:pPr>
        <w:tabs>
          <w:tab w:val="num" w:pos="0"/>
        </w:tabs>
        <w:ind w:left="5029" w:hanging="360"/>
      </w:pPr>
      <w:rPr>
        <w:rFonts w:ascii="Symbol" w:hAnsi="Symbol" w:cs="Symbol" w:hint="default"/>
        <w:sz w:val="24"/>
        <w:color w:val="000000"/>
      </w:rPr>
    </w:lvl>
    <w:lvl w:ilvl="7">
      <w:start w:val="1"/>
      <w:numFmt w:val="bullet"/>
      <w:lvlText w:val="·"/>
      <w:lvlJc w:val="left"/>
      <w:pPr>
        <w:tabs>
          <w:tab w:val="num" w:pos="0"/>
        </w:tabs>
        <w:ind w:left="5749" w:hanging="360"/>
      </w:pPr>
      <w:rPr>
        <w:rFonts w:ascii="Symbol" w:hAnsi="Symbol" w:cs="Symbol" w:hint="default"/>
        <w:sz w:val="24"/>
        <w:color w:val="000000"/>
      </w:rPr>
    </w:lvl>
    <w:lvl w:ilvl="8">
      <w:start w:val="1"/>
      <w:numFmt w:val="bullet"/>
      <w:lvlText w:val="·"/>
      <w:lvlJc w:val="left"/>
      <w:pPr>
        <w:tabs>
          <w:tab w:val="num" w:pos="0"/>
        </w:tabs>
        <w:ind w:left="6469" w:hanging="360"/>
      </w:pPr>
      <w:rPr>
        <w:rFonts w:ascii="Symbol" w:hAnsi="Symbol" w:cs="Symbol" w:hint="default"/>
        <w:sz w:val="24"/>
        <w:color w:val="000000"/>
      </w:rPr>
    </w:lvl>
  </w:abstractNum>
  <w:abstractNum w:abstractNumId="10">
    <w:lvl w:ilvl="0">
      <w:start w:val="1"/>
      <w:numFmt w:val="bullet"/>
      <w:lvlText w:val="·"/>
      <w:lvlJc w:val="left"/>
      <w:pPr>
        <w:tabs>
          <w:tab w:val="num" w:pos="0"/>
        </w:tabs>
        <w:ind w:left="709" w:hanging="360"/>
      </w:pPr>
      <w:rPr>
        <w:rFonts w:ascii="Symbol" w:hAnsi="Symbol" w:cs="Symbol" w:hint="default"/>
      </w:rPr>
    </w:lvl>
    <w:lvl w:ilvl="1">
      <w:start w:val="1"/>
      <w:numFmt w:val="bullet"/>
      <w:lvlText w:val="·"/>
      <w:lvlJc w:val="left"/>
      <w:pPr>
        <w:tabs>
          <w:tab w:val="num" w:pos="0"/>
        </w:tabs>
        <w:ind w:left="1429" w:hanging="360"/>
      </w:pPr>
      <w:rPr>
        <w:rFonts w:ascii="Symbol" w:hAnsi="Symbol" w:cs="Symbol" w:hint="default"/>
      </w:rPr>
    </w:lvl>
    <w:lvl w:ilvl="2">
      <w:start w:val="1"/>
      <w:numFmt w:val="bullet"/>
      <w:lvlText w:val="·"/>
      <w:lvlJc w:val="left"/>
      <w:pPr>
        <w:tabs>
          <w:tab w:val="num" w:pos="0"/>
        </w:tabs>
        <w:ind w:left="2149" w:hanging="360"/>
      </w:pPr>
      <w:rPr>
        <w:rFonts w:ascii="Symbol" w:hAnsi="Symbol" w:cs="Symbol"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
      <w:lvlJc w:val="left"/>
      <w:pPr>
        <w:tabs>
          <w:tab w:val="num" w:pos="0"/>
        </w:tabs>
        <w:ind w:left="3589" w:hanging="360"/>
      </w:pPr>
      <w:rPr>
        <w:rFonts w:ascii="Symbol" w:hAnsi="Symbol" w:cs="Symbol" w:hint="default"/>
      </w:rPr>
    </w:lvl>
    <w:lvl w:ilvl="5">
      <w:start w:val="1"/>
      <w:numFmt w:val="bullet"/>
      <w:lvlText w:val="·"/>
      <w:lvlJc w:val="left"/>
      <w:pPr>
        <w:tabs>
          <w:tab w:val="num" w:pos="0"/>
        </w:tabs>
        <w:ind w:left="4309" w:hanging="360"/>
      </w:pPr>
      <w:rPr>
        <w:rFonts w:ascii="Symbol" w:hAnsi="Symbol" w:cs="Symbol"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
      <w:lvlJc w:val="left"/>
      <w:pPr>
        <w:tabs>
          <w:tab w:val="num" w:pos="0"/>
        </w:tabs>
        <w:ind w:left="5749" w:hanging="360"/>
      </w:pPr>
      <w:rPr>
        <w:rFonts w:ascii="Symbol" w:hAnsi="Symbol" w:cs="Symbol" w:hint="default"/>
      </w:rPr>
    </w:lvl>
    <w:lvl w:ilvl="8">
      <w:start w:val="1"/>
      <w:numFmt w:val="bullet"/>
      <w:lvlText w:val="·"/>
      <w:lvlJc w:val="left"/>
      <w:pPr>
        <w:tabs>
          <w:tab w:val="num" w:pos="0"/>
        </w:tabs>
        <w:ind w:left="6469" w:hanging="360"/>
      </w:pPr>
      <w:rPr>
        <w:rFonts w:ascii="Symbol" w:hAnsi="Symbol" w:cs="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left"/>
    </w:pPr>
    <w:rPr>
      <w:rFonts w:ascii="Times New Roman" w:hAnsi="Times New Roman" w:eastAsia="SimSun" w:cs="Mangal"/>
      <w:color w:val="auto"/>
      <w:kern w:val="0"/>
      <w:sz w:val="24"/>
      <w:szCs w:val="24"/>
      <w:lang w:eastAsia="hi-IN" w:bidi="hi-IN" w:val="de-DE"/>
    </w:rPr>
  </w:style>
  <w:style w:type="paragraph" w:styleId="Heading1">
    <w:name w:val="heading 1"/>
    <w:basedOn w:val="Normal"/>
    <w:next w:val="Normal"/>
    <w:link w:val="berschrift1Zchn"/>
    <w:qFormat/>
    <w:pPr>
      <w:keepNext w:val="true"/>
      <w:numPr>
        <w:ilvl w:val="0"/>
        <w:numId w:val="1"/>
      </w:numPr>
      <w:outlineLvl w:val="0"/>
    </w:pPr>
    <w:rPr>
      <w:rFonts w:ascii="Comic Sans MS" w:hAnsi="Comic Sans MS" w:cs="Comic Sans MS"/>
      <w:b/>
      <w:sz w:val="28"/>
    </w:rPr>
  </w:style>
  <w:style w:type="paragraph" w:styleId="Heading2">
    <w:name w:val="heading 2"/>
    <w:basedOn w:val="Normal"/>
    <w:next w:val="Normal"/>
    <w:link w:val="berschrift2Zchn"/>
    <w:qFormat/>
    <w:pPr>
      <w:keepNext w:val="true"/>
      <w:numPr>
        <w:ilvl w:val="1"/>
        <w:numId w:val="1"/>
      </w:numPr>
      <w:outlineLvl w:val="1"/>
    </w:pPr>
    <w:rPr>
      <w:b/>
    </w:rPr>
  </w:style>
  <w:style w:type="paragraph" w:styleId="Heading3">
    <w:name w:val="heading 3"/>
    <w:basedOn w:val="Normal"/>
    <w:next w:val="Normal"/>
    <w:link w:val="berschrift3Zchn"/>
    <w:uiPriority w:val="9"/>
    <w:semiHidden/>
    <w:unhideWhenUsed/>
    <w:qFormat/>
    <w:pPr>
      <w:keepNext w:val="true"/>
      <w:keepLines/>
      <w:spacing w:before="40" w:after="0"/>
      <w:outlineLvl w:val="2"/>
    </w:pPr>
    <w:rPr>
      <w:rFonts w:ascii="Calibri Light" w:hAnsi="Calibri Light" w:eastAsia="Arial" w:asciiTheme="majorHAnsi" w:eastAsiaTheme="majorEastAsia" w:hAnsiTheme="majorHAnsi"/>
      <w:color w:themeColor="accent1" w:themeShade="7f" w:val="1F4D78"/>
      <w:szCs w:val="21"/>
    </w:rPr>
  </w:style>
  <w:style w:type="paragraph" w:styleId="Heading4">
    <w:name w:val="heading 4"/>
    <w:basedOn w:val="Normal"/>
    <w:next w:val="Normal"/>
    <w:link w:val="berschrift4Zchn"/>
    <w:uiPriority w:val="9"/>
    <w:unhideWhenUsed/>
    <w:qFormat/>
    <w:pPr>
      <w:keepNext w:val="true"/>
      <w:keepLines/>
      <w:spacing w:before="80" w:after="40"/>
      <w:outlineLvl w:val="3"/>
    </w:pPr>
    <w:rPr>
      <w:rFonts w:ascii="Arial" w:hAnsi="Arial" w:eastAsia="Arial" w:cs="Arial"/>
      <w:i/>
      <w:iCs/>
      <w:color w:themeColor="accent1" w:themeShade="bf" w:val="2E74B5"/>
    </w:rPr>
  </w:style>
  <w:style w:type="paragraph" w:styleId="Heading5">
    <w:name w:val="heading 5"/>
    <w:basedOn w:val="Normal"/>
    <w:next w:val="Normal"/>
    <w:link w:val="berschrift5Zchn"/>
    <w:uiPriority w:val="9"/>
    <w:unhideWhenUsed/>
    <w:qFormat/>
    <w:pPr>
      <w:keepNext w:val="true"/>
      <w:keepLines/>
      <w:spacing w:before="80" w:after="40"/>
      <w:outlineLvl w:val="4"/>
    </w:pPr>
    <w:rPr>
      <w:rFonts w:ascii="Arial" w:hAnsi="Arial" w:eastAsia="Arial" w:cs="Arial"/>
      <w:color w:themeColor="accent1" w:themeShade="bf" w:val="2E74B5"/>
    </w:rPr>
  </w:style>
  <w:style w:type="paragraph" w:styleId="Heading6">
    <w:name w:val="heading 6"/>
    <w:basedOn w:val="Normal"/>
    <w:next w:val="Normal"/>
    <w:link w:val="berschrift6Zchn"/>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berschrift7Zchn"/>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berschrift8Zchn"/>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berschrift9Zchn"/>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2E74B5"/>
      <w:sz w:val="40"/>
      <w:szCs w:val="40"/>
    </w:rPr>
  </w:style>
  <w:style w:type="character" w:styleId="Heading2Char" w:customStyle="1">
    <w:name w:val="Heading 2 Char"/>
    <w:basedOn w:val="DefaultParagraphFont"/>
    <w:uiPriority w:val="9"/>
    <w:qFormat/>
    <w:rPr>
      <w:rFonts w:ascii="Arial" w:hAnsi="Arial" w:eastAsia="Arial" w:cs="Arial"/>
      <w:color w:themeColor="accent1" w:themeShade="bf" w:val="2E74B5"/>
      <w:sz w:val="32"/>
      <w:szCs w:val="32"/>
    </w:rPr>
  </w:style>
  <w:style w:type="character" w:styleId="Heading3Char" w:customStyle="1">
    <w:name w:val="Heading 3 Char"/>
    <w:basedOn w:val="DefaultParagraphFont"/>
    <w:uiPriority w:val="9"/>
    <w:qFormat/>
    <w:rPr>
      <w:rFonts w:ascii="Arial" w:hAnsi="Arial" w:eastAsia="Arial" w:cs="Arial"/>
      <w:color w:themeColor="accent1" w:themeShade="bf" w:val="2E74B5"/>
      <w:sz w:val="28"/>
      <w:szCs w:val="28"/>
    </w:rPr>
  </w:style>
  <w:style w:type="character" w:styleId="berschrift4Zchn" w:customStyle="1">
    <w:name w:val="Überschrift 4 Zchn"/>
    <w:basedOn w:val="DefaultParagraphFont"/>
    <w:uiPriority w:val="9"/>
    <w:qFormat/>
    <w:rPr>
      <w:rFonts w:ascii="Arial" w:hAnsi="Arial" w:eastAsia="Arial" w:cs="Arial"/>
      <w:i/>
      <w:iCs/>
      <w:color w:themeColor="accent1" w:themeShade="bf" w:val="2E74B5"/>
    </w:rPr>
  </w:style>
  <w:style w:type="character" w:styleId="berschrift5Zchn" w:customStyle="1">
    <w:name w:val="Überschrift 5 Zchn"/>
    <w:basedOn w:val="DefaultParagraphFont"/>
    <w:uiPriority w:val="9"/>
    <w:qFormat/>
    <w:rPr>
      <w:rFonts w:ascii="Arial" w:hAnsi="Arial" w:eastAsia="Arial" w:cs="Arial"/>
      <w:color w:themeColor="accent1" w:themeShade="bf" w:val="2E74B5"/>
    </w:rPr>
  </w:style>
  <w:style w:type="character" w:styleId="berschrift6Zchn" w:customStyle="1">
    <w:name w:val="Überschrift 6 Zchn"/>
    <w:basedOn w:val="DefaultParagraphFont"/>
    <w:uiPriority w:val="9"/>
    <w:qFormat/>
    <w:rPr>
      <w:rFonts w:ascii="Arial" w:hAnsi="Arial" w:eastAsia="Arial" w:cs="Arial"/>
      <w:i/>
      <w:iCs/>
      <w:color w:themeColor="text1" w:themeTint="a6" w:val="595959"/>
    </w:rPr>
  </w:style>
  <w:style w:type="character" w:styleId="berschrift7Zchn" w:customStyle="1">
    <w:name w:val="Überschrift 7 Zchn"/>
    <w:basedOn w:val="DefaultParagraphFont"/>
    <w:uiPriority w:val="9"/>
    <w:qFormat/>
    <w:rPr>
      <w:rFonts w:ascii="Arial" w:hAnsi="Arial" w:eastAsia="Arial" w:cs="Arial"/>
      <w:color w:themeColor="text1" w:themeTint="a6" w:val="595959"/>
    </w:rPr>
  </w:style>
  <w:style w:type="character" w:styleId="berschrift8Zchn" w:customStyle="1">
    <w:name w:val="Überschrift 8 Zchn"/>
    <w:basedOn w:val="DefaultParagraphFont"/>
    <w:uiPriority w:val="9"/>
    <w:qFormat/>
    <w:rPr>
      <w:rFonts w:ascii="Arial" w:hAnsi="Arial" w:eastAsia="Arial" w:cs="Arial"/>
      <w:i/>
      <w:iCs/>
      <w:color w:themeColor="text1" w:themeTint="d8" w:val="272727"/>
    </w:rPr>
  </w:style>
  <w:style w:type="character" w:styleId="berschrift9Zchn" w:customStyle="1">
    <w:name w:val="Überschrift 9 Zchn"/>
    <w:basedOn w:val="DefaultParagraphFont"/>
    <w:uiPriority w:val="9"/>
    <w:qFormat/>
    <w:rPr>
      <w:rFonts w:ascii="Arial" w:hAnsi="Arial" w:eastAsia="Arial" w:cs="Arial"/>
      <w:i/>
      <w:iCs/>
      <w:color w:themeColor="text1" w:themeTint="d8" w:val="272727"/>
    </w:rPr>
  </w:style>
  <w:style w:type="character" w:styleId="TitelZchn" w:customStyle="1">
    <w:name w:val="Titel Zchn"/>
    <w:basedOn w:val="DefaultParagraphFont"/>
    <w:uiPriority w:val="10"/>
    <w:qFormat/>
    <w:rPr>
      <w:rFonts w:ascii="Arial" w:hAnsi="Arial" w:eastAsia="Arial" w:cs="Arial"/>
      <w:spacing w:val="-10"/>
      <w:sz w:val="56"/>
      <w:szCs w:val="56"/>
    </w:rPr>
  </w:style>
  <w:style w:type="character" w:styleId="UntertitelZchn" w:customStyle="1">
    <w:name w:val="Untertitel Zchn"/>
    <w:basedOn w:val="DefaultParagraphFont"/>
    <w:uiPriority w:val="11"/>
    <w:qFormat/>
    <w:rPr>
      <w:color w:themeColor="text1" w:themeTint="a6" w:val="595959"/>
      <w:spacing w:val="15"/>
      <w:sz w:val="28"/>
      <w:szCs w:val="28"/>
    </w:rPr>
  </w:style>
  <w:style w:type="character" w:styleId="ZitatZchn" w:customStyle="1">
    <w:name w:val="Zitat Zchn"/>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2E74B5"/>
    </w:rPr>
  </w:style>
  <w:style w:type="character" w:styleId="IntensivesZitatZchn" w:customStyle="1">
    <w:name w:val="Intensives Zitat Zchn"/>
    <w:basedOn w:val="DefaultParagraphFont"/>
    <w:link w:val="IntenseQuote"/>
    <w:uiPriority w:val="30"/>
    <w:qFormat/>
    <w:rPr>
      <w:i/>
      <w:iCs/>
      <w:color w:themeColor="accent1" w:themeShade="bf" w:val="2E74B5"/>
    </w:rPr>
  </w:style>
  <w:style w:type="character" w:styleId="IntenseReference">
    <w:name w:val="Intense Reference"/>
    <w:basedOn w:val="DefaultParagraphFont"/>
    <w:uiPriority w:val="32"/>
    <w:qFormat/>
    <w:rPr>
      <w:b/>
      <w:bCs/>
      <w:smallCaps/>
      <w:color w:themeColor="accent1" w:themeShade="bf" w:val="2E74B5"/>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FunotentextZchn" w:customStyle="1">
    <w:name w:val="Fußnotentext Zchn"/>
    <w:basedOn w:val="DefaultParagraphFont"/>
    <w:uiPriority w:val="99"/>
    <w:semiHidden/>
    <w:qFormat/>
    <w:rPr>
      <w:sz w:val="20"/>
      <w:szCs w:val="20"/>
    </w:rPr>
  </w:style>
  <w:style w:type="character" w:styleId="Funotenzeichen">
    <w:name w:val="Fußnotenzeichen"/>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ntextZchn" w:customStyle="1">
    <w:name w:val="Endnotentext Zchn"/>
    <w:basedOn w:val="DefaultParagraphFont"/>
    <w:link w:val="EndnoteText"/>
    <w:uiPriority w:val="99"/>
    <w:semiHidden/>
    <w:qFormat/>
    <w:rPr>
      <w:sz w:val="20"/>
      <w:szCs w:val="20"/>
    </w:rPr>
  </w:style>
  <w:style w:type="character" w:styleId="Endnotenzeichen">
    <w:name w:val="Endnotenzeichen"/>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berschrift1Zchn" w:customStyle="1">
    <w:name w:val="Überschrift 1 Zchn"/>
    <w:basedOn w:val="DefaultParagraphFont"/>
    <w:qFormat/>
    <w:rPr>
      <w:rFonts w:ascii="Comic Sans MS" w:hAnsi="Comic Sans MS" w:eastAsia="SimSun" w:cs="Comic Sans MS"/>
      <w:b/>
      <w:sz w:val="28"/>
      <w:szCs w:val="24"/>
      <w:lang w:eastAsia="hi-IN" w:bidi="hi-IN"/>
    </w:rPr>
  </w:style>
  <w:style w:type="character" w:styleId="berschrift2Zchn" w:customStyle="1">
    <w:name w:val="Überschrift 2 Zchn"/>
    <w:basedOn w:val="DefaultParagraphFont"/>
    <w:qFormat/>
    <w:rPr>
      <w:rFonts w:ascii="Times New Roman" w:hAnsi="Times New Roman" w:eastAsia="SimSun" w:cs="Mangal"/>
      <w:b/>
      <w:sz w:val="24"/>
      <w:szCs w:val="24"/>
      <w:lang w:eastAsia="hi-IN" w:bidi="hi-IN"/>
    </w:rPr>
  </w:style>
  <w:style w:type="character" w:styleId="KopfzeileZchn" w:customStyle="1">
    <w:name w:val="Kopfzeile Zchn"/>
    <w:basedOn w:val="DefaultParagraphFont"/>
    <w:uiPriority w:val="99"/>
    <w:qFormat/>
    <w:rPr>
      <w:rFonts w:ascii="Times New Roman" w:hAnsi="Times New Roman" w:eastAsia="SimSun" w:cs="Times New Roman"/>
      <w:sz w:val="20"/>
      <w:szCs w:val="24"/>
      <w:lang w:eastAsia="hi-IN" w:bidi="hi-IN"/>
    </w:rPr>
  </w:style>
  <w:style w:type="character" w:styleId="Strong">
    <w:name w:val="Strong"/>
    <w:basedOn w:val="DefaultParagraphFont"/>
    <w:uiPriority w:val="22"/>
    <w:qFormat/>
    <w:rPr>
      <w:b/>
      <w:bCs/>
    </w:rPr>
  </w:style>
  <w:style w:type="character" w:styleId="berschrift3Zchn" w:customStyle="1">
    <w:name w:val="Überschrift 3 Zchn"/>
    <w:basedOn w:val="DefaultParagraphFont"/>
    <w:uiPriority w:val="9"/>
    <w:semiHidden/>
    <w:qFormat/>
    <w:rPr>
      <w:rFonts w:ascii="Calibri Light" w:hAnsi="Calibri Light" w:eastAsia="Arial" w:cs="Mangal" w:asciiTheme="majorHAnsi" w:eastAsiaTheme="majorEastAsia" w:hAnsiTheme="majorHAnsi"/>
      <w:color w:themeColor="accent1" w:themeShade="7f" w:val="1F4D78"/>
      <w:sz w:val="24"/>
      <w:szCs w:val="21"/>
      <w:lang w:eastAsia="hi-IN" w:bidi="hi-IN"/>
    </w:rPr>
  </w:style>
  <w:style w:type="character" w:styleId="Hyperlink">
    <w:name w:val="Hyperlink"/>
    <w:basedOn w:val="DefaultParagraphFont"/>
    <w:uiPriority w:val="99"/>
    <w:unhideWhenUsed/>
    <w:rPr>
      <w:color w:val="0000FF"/>
      <w:u w:val="single"/>
    </w:rPr>
  </w:style>
  <w:style w:type="character" w:styleId="SprechblasentextZchn" w:customStyle="1">
    <w:name w:val="Sprechblasentext Zchn"/>
    <w:basedOn w:val="DefaultParagraphFont"/>
    <w:link w:val="BalloonText"/>
    <w:uiPriority w:val="99"/>
    <w:semiHidden/>
    <w:qFormat/>
    <w:rPr>
      <w:rFonts w:ascii="Segoe UI" w:hAnsi="Segoe UI" w:eastAsia="SimSun" w:cs="Mangal"/>
      <w:sz w:val="18"/>
      <w:szCs w:val="16"/>
      <w:lang w:eastAsia="hi-IN" w:bidi="hi-IN"/>
    </w:rPr>
  </w:style>
  <w:style w:type="character" w:styleId="breadcrumbcurrent" w:customStyle="1">
    <w:name w:val="breadcrumb_current"/>
    <w:qFormat/>
    <w:rPr/>
  </w:style>
  <w:style w:type="character" w:styleId="KommentartextZchn" w:customStyle="1">
    <w:name w:val="Kommentartext Zchn"/>
    <w:basedOn w:val="DefaultParagraphFont"/>
    <w:uiPriority w:val="99"/>
    <w:semiHidden/>
    <w:qFormat/>
    <w:rPr>
      <w:rFonts w:ascii="Times New Roman" w:hAnsi="Times New Roman" w:eastAsia="SimSun" w:cs="Mangal"/>
      <w:sz w:val="20"/>
      <w:szCs w:val="18"/>
      <w:lang w:eastAsia="hi-IN" w:bidi="hi-IN"/>
    </w:rPr>
  </w:style>
  <w:style w:type="character" w:styleId="hgkelc" w:customStyle="1">
    <w:name w:val="hgkelc"/>
    <w:basedOn w:val="DefaultParagraphFont"/>
    <w:qFormat/>
    <w:rPr/>
  </w:style>
  <w:style w:type="character" w:styleId="TextkrperZchn" w:customStyle="1">
    <w:name w:val="Textkörper Zchn"/>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FuzeileZchn" w:customStyle="1">
    <w:name w:val="Fußzeile Zchn"/>
    <w:basedOn w:val="DefaultParagraphFont"/>
    <w:uiPriority w:val="99"/>
    <w:qFormat/>
    <w:rPr>
      <w:rFonts w:ascii="Times New Roman" w:hAnsi="Times New Roman" w:eastAsia="SimSun" w:cs="Mangal"/>
      <w:sz w:val="24"/>
      <w:szCs w:val="21"/>
      <w:lang w:eastAsia="hi-I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krperZchn"/>
    <w:pPr>
      <w:widowControl/>
      <w:spacing w:lineRule="auto" w:line="276" w:before="0" w:after="140"/>
    </w:pPr>
    <w:rPr>
      <w:rFonts w:ascii="Calibri" w:hAnsi="Calibri" w:eastAsia="Calibri" w:cs="Arial" w:asciiTheme="minorHAnsi" w:cstheme="minorBidi" w:eastAsiaTheme="minorHAnsi" w:hAnsiTheme="minorHAnsi"/>
      <w:sz w:val="22"/>
      <w:szCs w:val="22"/>
      <w:lang w:eastAsia="en-US" w:bidi="ar-SA"/>
    </w:rPr>
  </w:style>
  <w:style w:type="paragraph" w:styleId="List">
    <w:name w:val="List"/>
    <w:basedOn w:val="BodyText"/>
    <w:pPr/>
    <w:rPr>
      <w:rFonts w:cs="Arial"/>
    </w:rPr>
  </w:style>
  <w:style w:type="paragraph" w:styleId="Caption">
    <w:name w:val="caption"/>
    <w:basedOn w:val="Normal"/>
    <w:next w:val="Normal"/>
    <w:uiPriority w:val="35"/>
    <w:unhideWhenUsed/>
    <w:qFormat/>
    <w:pPr>
      <w:spacing w:before="0" w:after="200"/>
    </w:pPr>
    <w:rPr>
      <w:i/>
      <w:iCs/>
      <w:color w:themeColor="text2" w:val="44546A"/>
      <w:sz w:val="18"/>
      <w:szCs w:val="18"/>
    </w:rPr>
  </w:style>
  <w:style w:type="paragraph" w:styleId="Verzeichnis">
    <w:name w:val="Verzeichnis"/>
    <w:basedOn w:val="Normal"/>
    <w:qFormat/>
    <w:pPr>
      <w:suppressLineNumbers/>
    </w:pPr>
    <w:rPr>
      <w:rFonts w:cs="Arial"/>
    </w:rPr>
  </w:style>
  <w:style w:type="paragraph" w:styleId="Title">
    <w:name w:val="Title"/>
    <w:basedOn w:val="Normal"/>
    <w:next w:val="Normal"/>
    <w:link w:val="TitelZchn"/>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UntertitelZchn"/>
    <w:uiPriority w:val="11"/>
    <w:qFormat/>
    <w:pPr/>
    <w:rPr>
      <w:color w:themeColor="text1" w:themeTint="a6" w:val="595959"/>
      <w:spacing w:val="15"/>
      <w:sz w:val="28"/>
      <w:szCs w:val="28"/>
    </w:rPr>
  </w:style>
  <w:style w:type="paragraph" w:styleId="Quote">
    <w:name w:val="Quote"/>
    <w:basedOn w:val="Normal"/>
    <w:next w:val="Normal"/>
    <w:link w:val="ZitatZchn"/>
    <w:uiPriority w:val="29"/>
    <w:qFormat/>
    <w:pPr>
      <w:spacing w:before="160" w:after="0"/>
      <w:jc w:val="center"/>
    </w:pPr>
    <w:rPr>
      <w:i/>
      <w:iCs/>
      <w:color w:themeColor="text1" w:themeTint="bf" w:val="404040"/>
    </w:rPr>
  </w:style>
  <w:style w:type="paragraph" w:styleId="IntenseQuote">
    <w:name w:val="Intense Quote"/>
    <w:basedOn w:val="Normal"/>
    <w:next w:val="Normal"/>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themeColor="accent1" w:themeShade="bf" w:val="2E74B5"/>
    </w:rPr>
  </w:style>
  <w:style w:type="paragraph" w:styleId="NoSpacing">
    <w:name w:val="No Spacing"/>
    <w:basedOn w:val="Normal"/>
    <w:uiPriority w:val="1"/>
    <w:qFormat/>
    <w:pPr/>
    <w:rPr/>
  </w:style>
  <w:style w:type="paragraph" w:styleId="FootnoteText">
    <w:name w:val="footnote text"/>
    <w:basedOn w:val="Normal"/>
    <w:link w:val="FunotentextZchn"/>
    <w:uiPriority w:val="99"/>
    <w:semiHidden/>
    <w:unhideWhenUsed/>
    <w:pPr/>
    <w:rPr>
      <w:sz w:val="20"/>
      <w:szCs w:val="20"/>
    </w:rPr>
  </w:style>
  <w:style w:type="paragraph" w:styleId="EndnoteText">
    <w:name w:val="endnote text"/>
    <w:basedOn w:val="Normal"/>
    <w:link w:val="EndnotentextZchn"/>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berschrift"/>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rPr/>
  </w:style>
  <w:style w:type="paragraph" w:styleId="Kopf-Fuzeile">
    <w:name w:val="Kopf-/Fußzeile"/>
    <w:basedOn w:val="Normal"/>
    <w:qFormat/>
    <w:pPr/>
    <w:rPr/>
  </w:style>
  <w:style w:type="paragraph" w:styleId="Header">
    <w:name w:val="header"/>
    <w:basedOn w:val="Normal"/>
    <w:link w:val="KopfzeileZchn"/>
    <w:uiPriority w:val="99"/>
    <w:pPr>
      <w:tabs>
        <w:tab w:val="clear" w:pos="708"/>
        <w:tab w:val="center" w:pos="4536" w:leader="none"/>
        <w:tab w:val="right" w:pos="9072" w:leader="none"/>
      </w:tabs>
    </w:pPr>
    <w:rPr>
      <w:rFonts w:cs="Times New Roman"/>
      <w:sz w:val="20"/>
    </w:rPr>
  </w:style>
  <w:style w:type="paragraph" w:styleId="NormalWeb">
    <w:name w:val="Normal (Web)"/>
    <w:basedOn w:val="Normal"/>
    <w:uiPriority w:val="99"/>
    <w:unhideWhenUsed/>
    <w:qFormat/>
    <w:pPr>
      <w:widowControl/>
      <w:spacing w:beforeAutospacing="1" w:afterAutospacing="1"/>
    </w:pPr>
    <w:rPr>
      <w:rFonts w:eastAsia="Times New Roman" w:cs="Times New Roman"/>
      <w:lang w:eastAsia="de-DE" w:bidi="ar-SA"/>
    </w:rPr>
  </w:style>
  <w:style w:type="paragraph" w:styleId="ListParagraph">
    <w:name w:val="List Paragraph"/>
    <w:basedOn w:val="Normal"/>
    <w:uiPriority w:val="34"/>
    <w:qFormat/>
    <w:pPr>
      <w:widowControl/>
      <w:spacing w:lineRule="auto" w:line="259" w:before="0" w:after="160"/>
      <w:ind w:left="720"/>
      <w:contextualSpacing/>
    </w:pPr>
    <w:rPr>
      <w:rFonts w:ascii="Calibri" w:hAnsi="Calibri" w:eastAsia="Calibri" w:cs="Arial" w:asciiTheme="minorHAnsi" w:cstheme="minorBidi" w:eastAsiaTheme="minorHAnsi" w:hAnsiTheme="minorHAnsi"/>
      <w:sz w:val="22"/>
      <w:szCs w:val="22"/>
      <w:lang w:eastAsia="en-US" w:bidi="ar-SA"/>
    </w:rPr>
  </w:style>
  <w:style w:type="paragraph" w:styleId="BalloonText">
    <w:name w:val="Balloon Text"/>
    <w:basedOn w:val="Normal"/>
    <w:link w:val="SprechblasentextZchn"/>
    <w:uiPriority w:val="99"/>
    <w:semiHidden/>
    <w:unhideWhenUsed/>
    <w:qFormat/>
    <w:pPr/>
    <w:rPr>
      <w:rFonts w:ascii="Segoe UI" w:hAnsi="Segoe UI"/>
      <w:sz w:val="18"/>
      <w:szCs w:val="16"/>
    </w:rPr>
  </w:style>
  <w:style w:type="paragraph" w:styleId="docdata" w:customStyle="1">
    <w:name w:val="docdata"/>
    <w:qFormat/>
    <w:pPr>
      <w:widowControl/>
      <w:pBdr/>
      <w:bidi w:val="0"/>
      <w:spacing w:beforeAutospacing="1" w:afterAutospacing="1"/>
      <w:jc w:val="left"/>
    </w:pPr>
    <w:rPr>
      <w:rFonts w:ascii="Times New Roman" w:hAnsi="Times New Roman" w:eastAsia="Times New Roman" w:cs="Times New Roman"/>
      <w:color w:val="auto"/>
      <w:kern w:val="0"/>
      <w:sz w:val="24"/>
      <w:szCs w:val="24"/>
      <w:lang w:eastAsia="de-DE" w:val="de-DE" w:bidi="ar-SA"/>
    </w:rPr>
  </w:style>
  <w:style w:type="paragraph" w:styleId="StandardWeb1" w:customStyle="1">
    <w:name w:val="Standard (Web)1"/>
    <w:uiPriority w:val="99"/>
    <w:unhideWhenUsed/>
    <w:qFormat/>
    <w:pPr>
      <w:widowControl/>
      <w:pBdr/>
      <w:bidi w:val="0"/>
      <w:spacing w:beforeAutospacing="1" w:afterAutospacing="1"/>
      <w:jc w:val="left"/>
    </w:pPr>
    <w:rPr>
      <w:rFonts w:ascii="Times New Roman" w:hAnsi="Times New Roman" w:eastAsia="Times New Roman" w:cs="Times New Roman"/>
      <w:color w:val="auto"/>
      <w:kern w:val="0"/>
      <w:sz w:val="24"/>
      <w:szCs w:val="24"/>
      <w:lang w:eastAsia="de-DE" w:val="de-DE" w:bidi="ar-SA"/>
    </w:rPr>
  </w:style>
  <w:style w:type="paragraph" w:styleId="CommentText">
    <w:name w:val="annotation text"/>
    <w:basedOn w:val="Normal"/>
    <w:link w:val="KommentartextZchn"/>
    <w:uiPriority w:val="99"/>
    <w:semiHidden/>
    <w:unhideWhenUsed/>
    <w:pPr/>
    <w:rPr>
      <w:sz w:val="20"/>
      <w:szCs w:val="18"/>
    </w:rPr>
  </w:style>
  <w:style w:type="paragraph" w:styleId="Standard1" w:customStyle="1">
    <w:name w:val="Standard1"/>
    <w:basedOn w:val="Normal"/>
    <w:qFormat/>
    <w:pPr>
      <w:widowControl/>
    </w:pPr>
    <w:rPr>
      <w:rFonts w:ascii="Liberation Serif" w:hAnsi="Liberation Serif" w:eastAsia="Noto Serif CJK SC" w:cs="FreeSans"/>
      <w:lang w:eastAsia="zh-CN"/>
    </w:rPr>
  </w:style>
  <w:style w:type="paragraph" w:styleId="Footer">
    <w:name w:val="footer"/>
    <w:basedOn w:val="Normal"/>
    <w:link w:val="FuzeileZchn"/>
    <w:uiPriority w:val="99"/>
    <w:unhideWhenUsed/>
    <w:pPr>
      <w:tabs>
        <w:tab w:val="clear" w:pos="708"/>
        <w:tab w:val="center" w:pos="4536" w:leader="none"/>
        <w:tab w:val="right" w:pos="9072" w:leader="none"/>
      </w:tabs>
    </w:pPr>
    <w:rPr>
      <w:szCs w:val="21"/>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NormaleTabelle"/>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EinfacheTabelle1">
    <w:name w:val="Plain Table 1"/>
    <w:basedOn w:val="NormaleTabelle"/>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EinfacheTabelle2">
    <w:name w:val="Plain Table 2"/>
    <w:basedOn w:val="NormaleTabelle"/>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EinfacheTabelle4">
    <w:name w:val="Plain Table 4"/>
    <w:basedOn w:val="NormaleTabelle"/>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Gitternetztabelle1hell">
    <w:name w:val="Grid Table 1 Light"/>
    <w:basedOn w:val="NormaleTabelle"/>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NormaleTabelle"/>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NormaleTabelle"/>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NormaleTabelle"/>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NormaleTabelle"/>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NormaleTabelle"/>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NormaleTabelle"/>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Gitternetztabelle2">
    <w:name w:val="Grid Table 2"/>
    <w:basedOn w:val="NormaleTabelle"/>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4">
    <w:name w:val="Grid Table 4"/>
    <w:basedOn w:val="NormaleTabelle"/>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NormaleTabelle"/>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NormaleTabelle"/>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NormaleTabelle"/>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NormaleTabelle"/>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NormaleTabelle"/>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NormaleTabelle"/>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Gritternetztabelle7farbig">
    <w:name w:val="Grid Table 7 Colorful"/>
    <w:basedOn w:val="NormaleTabelle"/>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NormaleTabelle"/>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NormaleTabelle"/>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NormaleTabelle"/>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NormaleTabelle"/>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NormaleTabelle"/>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NormaleTabelle"/>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3">
    <w:name w:val="List Table 3"/>
    <w:basedOn w:val="NormaleTabelle"/>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NormaleTabelle"/>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NormaleTabelle"/>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NormaleTabelle"/>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NormaleTabelle"/>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NormaleTabelle"/>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NormaleTabelle"/>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Listentabelle4">
    <w:name w:val="List Table 4"/>
    <w:basedOn w:val="NormaleTabelle"/>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NormaleTabelle"/>
    <w:uiPriority w:val="99"/>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NormaleTabelle"/>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NormaleTabelle"/>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NormaleTabelle"/>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NormaleTabelle"/>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NormaleTabelle"/>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Listentabelle7farbig">
    <w:name w:val="List Table 7 Colorful"/>
    <w:basedOn w:val="NormaleTabelle"/>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NormaleTabelle"/>
    <w:uiPriority w:val="99"/>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NormaleTabelle"/>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NormaleTabelle"/>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NormaleTabelle"/>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NormaleTabelle"/>
    <w:uiPriority w:val="99"/>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NormaleTabelle"/>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NormaleTabelle"/>
    <w:uiPriority w:val="99"/>
    <w:rPr>
      <w:lang w:eastAsia="de-DE"/>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NormaleTabelle"/>
    <w:uiPriority w:val="99"/>
    <w:rPr>
      <w:lang w:eastAsia="de-DE"/>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NormaleTabelle"/>
    <w:uiPriority w:val="99"/>
    <w:rPr>
      <w:lang w:eastAsia="de-DE"/>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NormaleTabelle"/>
    <w:uiPriority w:val="99"/>
    <w:rPr>
      <w:lang w:eastAsia="de-DE"/>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NormaleTabelle"/>
    <w:uiPriority w:val="99"/>
    <w:rPr>
      <w:lang w:eastAsia="de-DE"/>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NormaleTabelle"/>
    <w:uiPriority w:val="99"/>
    <w:rPr>
      <w:lang w:eastAsia="de-DE"/>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NormaleTabelle"/>
    <w:uiPriority w:val="99"/>
    <w:rPr>
      <w:lang w:eastAsia="de-DE"/>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lang w:eastAsia="de-DE"/>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NormaleTabelle"/>
    <w:uiPriority w:val="99"/>
    <w:rPr>
      <w:lang w:eastAsia="de-DE"/>
      <w:sz w:val="2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NormaleTabelle"/>
    <w:uiPriority w:val="99"/>
    <w:rPr>
      <w:lang w:eastAsia="de-DE"/>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lang w:eastAsia="de-DE"/>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lang w:eastAsia="de-DE"/>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lang w:eastAsia="de-DE"/>
      <w:sz w:val="2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NormaleTabelle"/>
    <w:uiPriority w:val="99"/>
    <w:rPr>
      <w:lang w:eastAsia="de-DE"/>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NormaleTabelle"/>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NormaleTabelle"/>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NormaleTabelle"/>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NormaleTabelle"/>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NormaleTabelle"/>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NormaleTabelle"/>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chancengerechtigkeit.hu-berlin.de/de/zentrum-chancengerechtigkeit/buero-fuer-antidiskriminierung-und-diversitaet" TargetMode="External"/><Relationship Id="rId4" Type="http://schemas.openxmlformats.org/officeDocument/2006/relationships/hyperlink" Target="mailto:antidiskriminierung@hu-berlin.de" TargetMode="External"/><Relationship Id="rId5" Type="http://schemas.openxmlformats.org/officeDocument/2006/relationships/hyperlink" Target="tel:030209312839" TargetMode="External"/><Relationship Id="rId6" Type="http://schemas.openxmlformats.org/officeDocument/2006/relationships/hyperlink" Target="mailto:diversitaet@hu-berlin.de" TargetMode="External"/><Relationship Id="rId7" Type="http://schemas.openxmlformats.org/officeDocument/2006/relationships/hyperlink" Target="tel:030209312839" TargetMode="External"/><Relationship Id="rId8" Type="http://schemas.openxmlformats.org/officeDocument/2006/relationships/hyperlink" Target="mailto:beschwerde-agg@hu-berlin.de" TargetMode="External"/><Relationship Id="rId9" Type="http://schemas.openxmlformats.org/officeDocument/2006/relationships/hyperlink" Target="http://www.ta.hu-berlin.de/au" TargetMode="External"/><Relationship Id="rId10" Type="http://schemas.openxmlformats.org/officeDocument/2006/relationships/hyperlink" Target="https://www.hgm.hu-berlin.de/de/gesund-arbeiten/beratung-informationen/psychosoziale-beratung-fuer-beschaeftigte" TargetMode="External"/><Relationship Id="rId11" Type="http://schemas.openxmlformats.org/officeDocument/2006/relationships/hyperlink" Target="https://intranet.hu-berlin.de/pages/humboldt/apps/blog/gremien-vertretungen/view/447fdd0b-1063-4b25-920e-ff4e1dfabe68" TargetMode="External"/><Relationship Id="rId12" Type="http://schemas.openxmlformats.org/officeDocument/2006/relationships/hyperlink" Target="https://intranet.hu-berlin.de/pages/humboldt/apps/blog/gremien-vertretungen/view/447fdd0b-1063-4b25-920e-ff4e1dfabe68" TargetMode="External"/><Relationship Id="rId13" Type="http://schemas.openxmlformats.org/officeDocument/2006/relationships/hyperlink" Target="https://bolognalab.hu-berlin.de/de/leitbild-lehre" TargetMode="External"/><Relationship Id="rId14" Type="http://schemas.openxmlformats.org/officeDocument/2006/relationships/hyperlink" Target="mailto:beratung.zfgb@hu-berlin.de" TargetMode="External"/><Relationship Id="rId15" Type="http://schemas.openxmlformats.org/officeDocument/2006/relationships/hyperlink" Target="https://gremien.hu-berlin.de/de/amb/2014/117/117_2014_RL%20und%20DV%20respektvolles%20Miteinander_DRUCK.pdf" TargetMode="External"/><Relationship Id="rId16" Type="http://schemas.openxmlformats.org/officeDocument/2006/relationships/hyperlink" Target="https://fakultaeten.hu-berlin.de/de/philfak/informationen-zu-machtmissbrauch/beispiele-fur-machtmissbrauch.pdf" TargetMode="External"/><Relationship Id="rId17" Type="http://schemas.openxmlformats.org/officeDocument/2006/relationships/hyperlink" Target="https://fakultaeten.hu-berlin.de/de/philfak/informationen-zu-machtmissbrauch/abschlussbericht-mamiko.pdf" TargetMode="External"/><Relationship Id="rId18" Type="http://schemas.openxmlformats.org/officeDocument/2006/relationships/hyperlink" Target="https://www.hu-berlin.de/de/service/beratung/chancengleichheit-1/chancengleichheit" TargetMode="External"/><Relationship Id="rId19" Type="http://schemas.openxmlformats.org/officeDocument/2006/relationships/hyperlink" Target="https://vertretungen.hu-berlin.de/de/personalrat" TargetMode="External"/><Relationship Id="rId20" Type="http://schemas.openxmlformats.org/officeDocument/2006/relationships/hyperlink" Target="http://bb.verdi.de/" TargetMode="External"/><Relationship Id="rId21" Type="http://schemas.openxmlformats.org/officeDocument/2006/relationships/hyperlink" Target="http://gew-berlin.de/"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5C3A5-9303-4A12-A4DA-B5B0818D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LibreOffice/25.2.7.1$Windows_X86_64 LibreOffice_project/16e8e36d1610f10597ed778c3dcb0a5aa0ed5d6f</Application>
  <AppVersion>15.0000</AppVersion>
  <Pages>14</Pages>
  <Words>5397</Words>
  <Characters>38220</Characters>
  <CharactersWithSpaces>43440</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2025-10-23T07:08:00Z</dcterms:created>
  <dc:creator>Kerstin</dc:creator>
  <dc:description/>
  <dc:language>de-DE</dc:language>
  <cp:lastModifiedBy>Kerstin</cp:lastModifiedBy>
  <dcterms:modified xsi:type="dcterms:W3CDTF">2025-11-21T11:39:00Z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