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0BB" w:rsidRDefault="002130BB" w:rsidP="002130BB">
      <w:pPr>
        <w:jc w:val="both"/>
        <w:rPr>
          <w:rFonts w:ascii="Verdana" w:hAnsi="Verdana" w:cs="Verdana"/>
          <w:b/>
          <w:sz w:val="20"/>
        </w:rPr>
      </w:pPr>
      <w:r w:rsidRPr="006D20A1">
        <w:rPr>
          <w:rFonts w:ascii="Verdana" w:hAnsi="Verdana" w:cs="Verdana"/>
          <w:b/>
          <w:sz w:val="30"/>
          <w:szCs w:val="30"/>
        </w:rPr>
        <w:t>T</w:t>
      </w:r>
      <w:r w:rsidRPr="006D20A1">
        <w:rPr>
          <w:rFonts w:ascii="Verdana" w:hAnsi="Verdana" w:cs="Verdana"/>
          <w:b/>
          <w:sz w:val="20"/>
        </w:rPr>
        <w:t xml:space="preserve">V-L HU </w:t>
      </w:r>
      <w:r>
        <w:rPr>
          <w:rFonts w:ascii="Verdana" w:hAnsi="Verdana" w:cs="Verdana"/>
          <w:b/>
          <w:sz w:val="20"/>
        </w:rPr>
        <w:t>Abschluss 2015</w:t>
      </w:r>
    </w:p>
    <w:p w:rsidR="002130BB" w:rsidRDefault="002130BB" w:rsidP="002130BB">
      <w:pPr>
        <w:jc w:val="both"/>
        <w:rPr>
          <w:rFonts w:ascii="Verdana" w:hAnsi="Verdana" w:cs="Verdana"/>
          <w:sz w:val="20"/>
        </w:rPr>
      </w:pPr>
      <w:r>
        <w:rPr>
          <w:rFonts w:ascii="Verdana" w:hAnsi="Verdana" w:cs="Verdana"/>
          <w:sz w:val="20"/>
        </w:rPr>
        <w:t>Die HU hat tarifvertraglich die Entgelte an die Regelungen des Landes Berlin gekoppelt. Berlin hat auch nach dem Wiedereintritt in die Tarifgemeinschaft deutscher Länder (TdL) noch bis 2017 Sonderregelungen zur Übernahme der TdL-Abschlüsse und der Entgeltangleichung: Die Übernahme erfolgt zeitgleich. Die Angleichung an das 100 %-Niveau der Länder erfolgt 2015 mit einem 0,5 %-Schritt auf 98,5 % der Ländertabelle, die volle Angleichung wird dann  zum Ende 2017 vollzogen. Das Ergebnis der diesjährigen Tarifrunde beinhaltet neben reinen Entgeltkomponenten und Regelungen für die Auszubildenden auch finanzielle Belastungen in der Zusatzversorgung (VBL), die das Ergebnis, insbesondere im Tarifgebiet Ost, deutlich schmälern. Zur Neuregelung im VBL-Bereich (näheres unter  VBL I –Leistungserhalt, im Osten teuer erkauft – s. S. 10).</w:t>
      </w:r>
    </w:p>
    <w:p w:rsidR="002130BB" w:rsidRDefault="002130BB" w:rsidP="002130BB">
      <w:pPr>
        <w:jc w:val="both"/>
        <w:rPr>
          <w:rFonts w:ascii="Verdana" w:hAnsi="Verdana" w:cs="Arial"/>
          <w:sz w:val="20"/>
          <w:szCs w:val="20"/>
        </w:rPr>
      </w:pPr>
    </w:p>
    <w:p w:rsidR="002130BB" w:rsidRPr="003B2694" w:rsidRDefault="002130BB" w:rsidP="002130BB">
      <w:pPr>
        <w:jc w:val="both"/>
        <w:rPr>
          <w:rFonts w:ascii="Verdana" w:hAnsi="Verdana" w:cs="Arial"/>
          <w:sz w:val="20"/>
          <w:szCs w:val="20"/>
        </w:rPr>
      </w:pPr>
      <w:r w:rsidRPr="003B2694">
        <w:rPr>
          <w:rFonts w:ascii="Verdana" w:hAnsi="Verdana" w:cs="Arial"/>
          <w:sz w:val="20"/>
          <w:szCs w:val="20"/>
        </w:rPr>
        <w:t>Entgelte:</w:t>
      </w:r>
    </w:p>
    <w:p w:rsidR="002130BB" w:rsidRPr="003B2694" w:rsidRDefault="002130BB" w:rsidP="002130BB">
      <w:pPr>
        <w:pStyle w:val="Listenabsatz"/>
        <w:numPr>
          <w:ilvl w:val="0"/>
          <w:numId w:val="1"/>
        </w:numPr>
        <w:ind w:left="284" w:hanging="284"/>
        <w:jc w:val="both"/>
        <w:rPr>
          <w:rFonts w:ascii="Verdana" w:hAnsi="Verdana" w:cs="Arial"/>
        </w:rPr>
      </w:pPr>
      <w:r>
        <w:rPr>
          <w:rFonts w:ascii="Verdana" w:hAnsi="Verdana" w:cs="Arial"/>
        </w:rPr>
        <w:t>0</w:t>
      </w:r>
      <w:r w:rsidRPr="003B2694">
        <w:rPr>
          <w:rFonts w:ascii="Verdana" w:hAnsi="Verdana" w:cs="Arial"/>
        </w:rPr>
        <w:t>1.</w:t>
      </w:r>
      <w:r>
        <w:rPr>
          <w:rFonts w:ascii="Verdana" w:hAnsi="Verdana" w:cs="Arial"/>
        </w:rPr>
        <w:t xml:space="preserve">03.2015 </w:t>
      </w:r>
      <w:r w:rsidRPr="003B2694">
        <w:rPr>
          <w:rFonts w:ascii="Verdana" w:hAnsi="Verdana" w:cs="Arial"/>
        </w:rPr>
        <w:t>Erhöhung um 2,1 % (98,5</w:t>
      </w:r>
      <w:r>
        <w:rPr>
          <w:rFonts w:ascii="Verdana" w:hAnsi="Verdana" w:cs="Arial"/>
        </w:rPr>
        <w:t xml:space="preserve"> </w:t>
      </w:r>
      <w:r w:rsidRPr="003B2694">
        <w:rPr>
          <w:rFonts w:ascii="Verdana" w:hAnsi="Verdana" w:cs="Arial"/>
        </w:rPr>
        <w:t>% der Tabellenentgelte der Länder)</w:t>
      </w:r>
    </w:p>
    <w:p w:rsidR="002130BB" w:rsidRPr="003B2694" w:rsidRDefault="002130BB" w:rsidP="002130BB">
      <w:pPr>
        <w:pStyle w:val="Listenabsatz"/>
        <w:numPr>
          <w:ilvl w:val="0"/>
          <w:numId w:val="1"/>
        </w:numPr>
        <w:ind w:left="284" w:hanging="284"/>
        <w:jc w:val="both"/>
        <w:rPr>
          <w:rFonts w:ascii="Verdana" w:hAnsi="Verdana" w:cs="Arial"/>
        </w:rPr>
      </w:pPr>
      <w:r>
        <w:rPr>
          <w:rFonts w:ascii="Verdana" w:hAnsi="Verdana" w:cs="Arial"/>
        </w:rPr>
        <w:t xml:space="preserve">01.03.2016 Erhöhung um weitere </w:t>
      </w:r>
      <w:r w:rsidRPr="003B2694">
        <w:rPr>
          <w:rFonts w:ascii="Verdana" w:hAnsi="Verdana" w:cs="Arial"/>
        </w:rPr>
        <w:t>2,3 %</w:t>
      </w:r>
    </w:p>
    <w:p w:rsidR="002130BB" w:rsidRDefault="002130BB" w:rsidP="002130BB">
      <w:pPr>
        <w:pStyle w:val="Listenabsatz"/>
        <w:numPr>
          <w:ilvl w:val="0"/>
          <w:numId w:val="1"/>
        </w:numPr>
        <w:ind w:left="284" w:hanging="284"/>
        <w:jc w:val="both"/>
        <w:rPr>
          <w:rFonts w:ascii="Verdana" w:hAnsi="Verdana" w:cs="Arial"/>
        </w:rPr>
      </w:pPr>
      <w:r>
        <w:rPr>
          <w:rFonts w:ascii="Verdana" w:hAnsi="Verdana" w:cs="Arial"/>
        </w:rPr>
        <w:t xml:space="preserve">In Berlin und an der HU: </w:t>
      </w:r>
      <w:r w:rsidRPr="003B2694">
        <w:rPr>
          <w:rFonts w:ascii="Verdana" w:hAnsi="Verdana" w:cs="Arial"/>
        </w:rPr>
        <w:t>Anhebung auf 100</w:t>
      </w:r>
      <w:r>
        <w:rPr>
          <w:rFonts w:ascii="Verdana" w:hAnsi="Verdana" w:cs="Arial"/>
        </w:rPr>
        <w:t xml:space="preserve"> </w:t>
      </w:r>
      <w:r w:rsidRPr="003B2694">
        <w:rPr>
          <w:rFonts w:ascii="Verdana" w:hAnsi="Verdana" w:cs="Arial"/>
        </w:rPr>
        <w:t xml:space="preserve">% der Tabellenentgelte der Länder erfolgt zum </w:t>
      </w:r>
      <w:r>
        <w:rPr>
          <w:rFonts w:ascii="Verdana" w:hAnsi="Verdana" w:cs="Arial"/>
        </w:rPr>
        <w:t>0</w:t>
      </w:r>
      <w:r w:rsidRPr="003B2694">
        <w:rPr>
          <w:rFonts w:ascii="Verdana" w:hAnsi="Verdana" w:cs="Arial"/>
        </w:rPr>
        <w:t>1.12.2017</w:t>
      </w:r>
    </w:p>
    <w:p w:rsidR="002130BB" w:rsidRPr="003B2694" w:rsidRDefault="002130BB" w:rsidP="002130BB">
      <w:pPr>
        <w:pStyle w:val="Listenabsatz"/>
        <w:ind w:left="0"/>
        <w:jc w:val="both"/>
        <w:rPr>
          <w:rFonts w:ascii="Verdana" w:hAnsi="Verdana" w:cs="Arial"/>
        </w:rPr>
      </w:pPr>
    </w:p>
    <w:p w:rsidR="002130BB" w:rsidRDefault="002130BB" w:rsidP="002130BB">
      <w:pPr>
        <w:jc w:val="both"/>
        <w:rPr>
          <w:rFonts w:ascii="Verdana" w:hAnsi="Verdana" w:cs="Arial"/>
          <w:sz w:val="20"/>
          <w:szCs w:val="20"/>
        </w:rPr>
      </w:pPr>
      <w:r>
        <w:rPr>
          <w:rFonts w:ascii="Verdana" w:hAnsi="Verdana" w:cs="Arial"/>
          <w:sz w:val="20"/>
          <w:szCs w:val="20"/>
        </w:rPr>
        <w:t>VBL-Beiträge:</w:t>
      </w:r>
    </w:p>
    <w:p w:rsidR="002130BB" w:rsidRDefault="002130BB" w:rsidP="002130BB">
      <w:pPr>
        <w:jc w:val="both"/>
        <w:rPr>
          <w:rFonts w:ascii="Verdana" w:hAnsi="Verdana" w:cs="Arial"/>
          <w:sz w:val="20"/>
          <w:szCs w:val="20"/>
        </w:rPr>
      </w:pPr>
      <w:r>
        <w:rPr>
          <w:rFonts w:ascii="Verdana" w:hAnsi="Verdana" w:cs="Arial"/>
          <w:sz w:val="20"/>
          <w:szCs w:val="20"/>
        </w:rPr>
        <w:t>Anhebung der Beteiligung der Beschäftigten von 2,0 % auf 2,75 % zum 01.07.2015, auf 3,5 % zum 01.07.2016 und 4,35 % zum 01.07.2017 im Tarifgebiet Ost und von 1,41 %</w:t>
      </w:r>
      <w:r w:rsidRPr="008A411D">
        <w:rPr>
          <w:rFonts w:ascii="Verdana" w:hAnsi="Verdana" w:cs="Arial"/>
          <w:sz w:val="20"/>
          <w:szCs w:val="20"/>
        </w:rPr>
        <w:t xml:space="preserve"> </w:t>
      </w:r>
      <w:r>
        <w:rPr>
          <w:rFonts w:ascii="Verdana" w:hAnsi="Verdana" w:cs="Arial"/>
          <w:sz w:val="20"/>
          <w:szCs w:val="20"/>
        </w:rPr>
        <w:t>auf 1,61 % zum 01.07.2015, auf 1,71 % zum 01.07.2016 und 1,81 % zum 01.07.2017 im Tarifgebiet West. Die Beteiligung der Arbeitgeber wird im Osten von 1 % auf 3,25 % und im Tarifbereich West von 6,45 % auf 6,85 % angehoben.</w:t>
      </w:r>
    </w:p>
    <w:p w:rsidR="002130BB" w:rsidRDefault="002130BB" w:rsidP="002130BB">
      <w:pPr>
        <w:jc w:val="both"/>
        <w:rPr>
          <w:rFonts w:ascii="Verdana" w:hAnsi="Verdana" w:cs="Arial"/>
          <w:sz w:val="20"/>
          <w:szCs w:val="20"/>
        </w:rPr>
      </w:pPr>
    </w:p>
    <w:p w:rsidR="002130BB" w:rsidRDefault="002130BB" w:rsidP="002130BB">
      <w:pPr>
        <w:jc w:val="both"/>
        <w:rPr>
          <w:rFonts w:ascii="Verdana" w:hAnsi="Verdana" w:cs="Arial"/>
          <w:sz w:val="20"/>
          <w:szCs w:val="20"/>
        </w:rPr>
      </w:pPr>
      <w:r>
        <w:rPr>
          <w:rFonts w:ascii="Verdana" w:hAnsi="Verdana" w:cs="Arial"/>
          <w:sz w:val="20"/>
          <w:szCs w:val="20"/>
        </w:rPr>
        <w:t>Leistungen aus der VBL:</w:t>
      </w:r>
    </w:p>
    <w:p w:rsidR="002130BB" w:rsidRDefault="002130BB" w:rsidP="002130BB">
      <w:pPr>
        <w:jc w:val="both"/>
        <w:rPr>
          <w:rFonts w:ascii="Verdana" w:hAnsi="Verdana" w:cs="Arial"/>
          <w:sz w:val="20"/>
          <w:szCs w:val="20"/>
        </w:rPr>
      </w:pPr>
      <w:r>
        <w:rPr>
          <w:rFonts w:ascii="Verdana" w:hAnsi="Verdana" w:cs="Arial"/>
          <w:sz w:val="20"/>
          <w:szCs w:val="20"/>
        </w:rPr>
        <w:t>Die Leistungsbestimmung bleibt wie bisher. Es werden keine Kürzungen der zu erwartenden Leistungen vorgenommen. Die Regelung ist frühestens 2024 kündbar.</w:t>
      </w:r>
    </w:p>
    <w:p w:rsidR="002130BB" w:rsidRDefault="002130BB" w:rsidP="002130BB">
      <w:pPr>
        <w:jc w:val="both"/>
        <w:rPr>
          <w:rFonts w:ascii="Verdana" w:hAnsi="Verdana" w:cs="Arial"/>
          <w:sz w:val="20"/>
          <w:szCs w:val="20"/>
        </w:rPr>
      </w:pPr>
    </w:p>
    <w:p w:rsidR="002130BB" w:rsidRDefault="002130BB" w:rsidP="002130BB">
      <w:pPr>
        <w:jc w:val="both"/>
        <w:rPr>
          <w:rFonts w:ascii="Verdana" w:hAnsi="Verdana" w:cs="Arial"/>
          <w:sz w:val="20"/>
          <w:szCs w:val="20"/>
        </w:rPr>
      </w:pPr>
      <w:r>
        <w:rPr>
          <w:rFonts w:ascii="Verdana" w:hAnsi="Verdana" w:cs="Arial"/>
          <w:sz w:val="20"/>
          <w:szCs w:val="20"/>
        </w:rPr>
        <w:t>Jahressonderzahlung Ost:</w:t>
      </w:r>
    </w:p>
    <w:p w:rsidR="002130BB" w:rsidRDefault="002130BB" w:rsidP="002130BB">
      <w:pPr>
        <w:jc w:val="both"/>
        <w:rPr>
          <w:rFonts w:ascii="Verdana" w:hAnsi="Verdana" w:cs="Arial"/>
          <w:sz w:val="20"/>
          <w:szCs w:val="20"/>
        </w:rPr>
      </w:pPr>
      <w:r>
        <w:rPr>
          <w:rFonts w:ascii="Verdana" w:hAnsi="Verdana" w:cs="Arial"/>
          <w:sz w:val="20"/>
          <w:szCs w:val="20"/>
        </w:rPr>
        <w:t>Wird in 5 Schritten bis 2019 auf die Hohe der Jahressonderzahlung West angehoben (Trifft für die HU nicht zu, da diese Angleichung bereits vollzogen ist.)</w:t>
      </w:r>
    </w:p>
    <w:p w:rsidR="002130BB" w:rsidRDefault="002130BB" w:rsidP="002130BB">
      <w:pPr>
        <w:jc w:val="both"/>
        <w:rPr>
          <w:rFonts w:ascii="Verdana" w:hAnsi="Verdana" w:cs="Arial"/>
          <w:sz w:val="20"/>
          <w:szCs w:val="20"/>
        </w:rPr>
      </w:pPr>
    </w:p>
    <w:p w:rsidR="002130BB" w:rsidRDefault="002130BB" w:rsidP="002130BB">
      <w:pPr>
        <w:jc w:val="both"/>
        <w:rPr>
          <w:rFonts w:ascii="Verdana" w:hAnsi="Verdana" w:cs="Arial"/>
          <w:sz w:val="20"/>
          <w:szCs w:val="20"/>
        </w:rPr>
      </w:pPr>
      <w:r>
        <w:rPr>
          <w:rFonts w:ascii="Verdana" w:hAnsi="Verdana" w:cs="Arial"/>
          <w:sz w:val="20"/>
          <w:szCs w:val="20"/>
        </w:rPr>
        <w:t>Für Auszubildende gilt:</w:t>
      </w:r>
    </w:p>
    <w:p w:rsidR="002130BB" w:rsidRDefault="002130BB" w:rsidP="002130BB">
      <w:pPr>
        <w:jc w:val="both"/>
        <w:rPr>
          <w:rFonts w:ascii="Verdana" w:hAnsi="Verdana" w:cs="Arial"/>
          <w:sz w:val="20"/>
          <w:szCs w:val="20"/>
        </w:rPr>
      </w:pPr>
      <w:r>
        <w:rPr>
          <w:rFonts w:ascii="Verdana" w:hAnsi="Verdana" w:cs="Arial"/>
          <w:sz w:val="20"/>
          <w:szCs w:val="20"/>
        </w:rPr>
        <w:t>Entgelte:</w:t>
      </w:r>
    </w:p>
    <w:p w:rsidR="002130BB" w:rsidRPr="003B2694" w:rsidRDefault="002130BB" w:rsidP="002130BB">
      <w:pPr>
        <w:pStyle w:val="Listenabsatz"/>
        <w:ind w:left="0"/>
        <w:jc w:val="both"/>
        <w:rPr>
          <w:rFonts w:ascii="Verdana" w:hAnsi="Verdana" w:cs="Arial"/>
        </w:rPr>
      </w:pPr>
      <w:r>
        <w:rPr>
          <w:rFonts w:ascii="Verdana" w:hAnsi="Verdana" w:cs="Arial"/>
        </w:rPr>
        <w:t xml:space="preserve">01.03.2015 </w:t>
      </w:r>
      <w:r>
        <w:rPr>
          <w:rFonts w:ascii="Verdana" w:hAnsi="Verdana" w:cs="Arial"/>
        </w:rPr>
        <w:tab/>
        <w:t xml:space="preserve">Erhöhung </w:t>
      </w:r>
      <w:r w:rsidRPr="003B2694">
        <w:rPr>
          <w:rFonts w:ascii="Verdana" w:hAnsi="Verdana" w:cs="Arial"/>
        </w:rPr>
        <w:t>der Ausbildungsentgelte um 29,55 Euro</w:t>
      </w:r>
    </w:p>
    <w:p w:rsidR="002130BB" w:rsidRPr="00380CA7" w:rsidRDefault="002130BB" w:rsidP="002130BB">
      <w:pPr>
        <w:pStyle w:val="Listenabsatz"/>
        <w:ind w:left="0"/>
        <w:jc w:val="both"/>
        <w:rPr>
          <w:rFonts w:ascii="Verdana" w:hAnsi="Verdana" w:cs="Arial"/>
        </w:rPr>
      </w:pPr>
      <w:r>
        <w:rPr>
          <w:rFonts w:ascii="Verdana" w:hAnsi="Verdana" w:cs="Arial"/>
        </w:rPr>
        <w:t xml:space="preserve">01.03.2016 </w:t>
      </w:r>
      <w:r>
        <w:rPr>
          <w:rFonts w:ascii="Verdana" w:hAnsi="Verdana" w:cs="Arial"/>
        </w:rPr>
        <w:tab/>
        <w:t xml:space="preserve">Erhöhung </w:t>
      </w:r>
      <w:r w:rsidRPr="00380CA7">
        <w:rPr>
          <w:rFonts w:ascii="Verdana" w:hAnsi="Verdana" w:cs="Arial"/>
        </w:rPr>
        <w:t>der Ausbildungsentgelte um weitere 29,55 Euro</w:t>
      </w:r>
    </w:p>
    <w:p w:rsidR="002130BB" w:rsidRDefault="002130BB" w:rsidP="002130BB">
      <w:pPr>
        <w:jc w:val="both"/>
        <w:rPr>
          <w:rFonts w:ascii="Verdana" w:hAnsi="Verdana" w:cs="Arial"/>
          <w:sz w:val="20"/>
          <w:szCs w:val="20"/>
        </w:rPr>
      </w:pPr>
      <w:r w:rsidRPr="00380CA7">
        <w:rPr>
          <w:rFonts w:ascii="Verdana" w:hAnsi="Verdana" w:cs="Arial"/>
          <w:sz w:val="20"/>
          <w:szCs w:val="20"/>
        </w:rPr>
        <w:t>Urlaub:</w:t>
      </w:r>
    </w:p>
    <w:p w:rsidR="002130BB" w:rsidRPr="00380CA7" w:rsidRDefault="002130BB" w:rsidP="002130BB">
      <w:pPr>
        <w:jc w:val="both"/>
        <w:rPr>
          <w:rFonts w:ascii="Verdana" w:hAnsi="Verdana" w:cs="Arial"/>
          <w:sz w:val="20"/>
          <w:szCs w:val="20"/>
        </w:rPr>
      </w:pPr>
      <w:r w:rsidRPr="00380CA7">
        <w:rPr>
          <w:rFonts w:ascii="Verdana" w:hAnsi="Verdana" w:cs="Arial"/>
          <w:sz w:val="20"/>
          <w:szCs w:val="20"/>
        </w:rPr>
        <w:t xml:space="preserve">Erhöhung von 27 auf 28 Tage im Kalenderjahr </w:t>
      </w:r>
    </w:p>
    <w:p w:rsidR="002130BB" w:rsidRDefault="002130BB" w:rsidP="002130BB">
      <w:pPr>
        <w:jc w:val="both"/>
        <w:rPr>
          <w:rFonts w:ascii="Verdana" w:hAnsi="Verdana" w:cs="Arial"/>
          <w:sz w:val="20"/>
          <w:szCs w:val="20"/>
        </w:rPr>
      </w:pPr>
      <w:r w:rsidRPr="00380CA7">
        <w:rPr>
          <w:rFonts w:ascii="Verdana" w:hAnsi="Verdana" w:cs="Arial"/>
          <w:sz w:val="20"/>
          <w:szCs w:val="20"/>
        </w:rPr>
        <w:t xml:space="preserve">Übernahmeregelung: </w:t>
      </w:r>
    </w:p>
    <w:p w:rsidR="002130BB" w:rsidRPr="00380CA7" w:rsidRDefault="002130BB" w:rsidP="002130BB">
      <w:pPr>
        <w:jc w:val="both"/>
        <w:rPr>
          <w:rFonts w:ascii="Verdana" w:hAnsi="Verdana" w:cs="Arial"/>
          <w:sz w:val="20"/>
          <w:szCs w:val="20"/>
        </w:rPr>
      </w:pPr>
      <w:r w:rsidRPr="00380CA7">
        <w:rPr>
          <w:rFonts w:ascii="Verdana" w:hAnsi="Verdana" w:cs="Arial"/>
          <w:sz w:val="20"/>
          <w:szCs w:val="20"/>
        </w:rPr>
        <w:t>Verlängerung der am 31.12.</w:t>
      </w:r>
      <w:r>
        <w:rPr>
          <w:rFonts w:ascii="Verdana" w:hAnsi="Verdana" w:cs="Arial"/>
          <w:sz w:val="20"/>
          <w:szCs w:val="20"/>
        </w:rPr>
        <w:t>20</w:t>
      </w:r>
      <w:r w:rsidRPr="00380CA7">
        <w:rPr>
          <w:rFonts w:ascii="Verdana" w:hAnsi="Verdana" w:cs="Arial"/>
          <w:sz w:val="20"/>
          <w:szCs w:val="20"/>
        </w:rPr>
        <w:t>14 ausgelaufenen Regelung bis zum 31.12.2016</w:t>
      </w:r>
    </w:p>
    <w:p w:rsidR="000D6465" w:rsidRDefault="000D6465">
      <w:bookmarkStart w:id="0" w:name="_GoBack"/>
      <w:bookmarkEnd w:id="0"/>
    </w:p>
    <w:sectPr w:rsidR="000D6465">
      <w:headerReference w:type="default" r:id="rId8"/>
      <w:footerReference w:type="default" r:id="rId9"/>
      <w:pgSz w:w="11906" w:h="16838"/>
      <w:pgMar w:top="1903" w:right="1134" w:bottom="2084" w:left="1134"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FC6" w:rsidRDefault="00662FC6">
      <w:r>
        <w:separator/>
      </w:r>
    </w:p>
  </w:endnote>
  <w:endnote w:type="continuationSeparator" w:id="0">
    <w:p w:rsidR="00662FC6" w:rsidRDefault="0066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B4" w:rsidRDefault="00B432B4">
    <w:pPr>
      <w:pStyle w:val="HorizontaleLinie"/>
    </w:pPr>
  </w:p>
  <w:p w:rsidR="00B432B4" w:rsidRDefault="00C13767">
    <w:pPr>
      <w:pStyle w:val="Fuzeile"/>
    </w:pPr>
    <w:r>
      <w:rPr>
        <w:rFonts w:ascii="Verdana" w:hAnsi="Verdana"/>
        <w:sz w:val="20"/>
        <w:szCs w:val="20"/>
      </w:rPr>
      <w:t xml:space="preserve">Personalrat des Hochschulbereichs                                                           </w:t>
    </w:r>
    <w:r>
      <w:rPr>
        <w:sz w:val="20"/>
        <w:szCs w:val="20"/>
      </w:rPr>
      <w:fldChar w:fldCharType="begin"/>
    </w:r>
    <w:r>
      <w:rPr>
        <w:sz w:val="20"/>
        <w:szCs w:val="20"/>
      </w:rPr>
      <w:instrText xml:space="preserve"> DATE \@"d.\ MMMM\ yyyy" </w:instrText>
    </w:r>
    <w:r>
      <w:rPr>
        <w:sz w:val="20"/>
        <w:szCs w:val="20"/>
      </w:rPr>
      <w:fldChar w:fldCharType="separate"/>
    </w:r>
    <w:r w:rsidR="002130BB">
      <w:rPr>
        <w:noProof/>
        <w:sz w:val="20"/>
        <w:szCs w:val="20"/>
      </w:rPr>
      <w:t>8. Dezember 2015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FC6" w:rsidRDefault="00662FC6">
      <w:r>
        <w:separator/>
      </w:r>
    </w:p>
  </w:footnote>
  <w:footnote w:type="continuationSeparator" w:id="0">
    <w:p w:rsidR="00662FC6" w:rsidRDefault="00662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2B4" w:rsidRDefault="00C13767">
    <w:pPr>
      <w:pStyle w:val="Fuzeile"/>
    </w:pPr>
    <w:r>
      <w:rPr>
        <w:rFonts w:ascii="Verdana" w:hAnsi="Verdana"/>
        <w:sz w:val="20"/>
        <w:szCs w:val="20"/>
        <w:u w:val="single"/>
      </w:rPr>
      <w:t xml:space="preserve">Personalrat des Hochschulbereichs                                                         </w:t>
    </w:r>
    <w:r>
      <w:rPr>
        <w:sz w:val="20"/>
        <w:szCs w:val="20"/>
        <w:u w:val="single"/>
      </w:rPr>
      <w:fldChar w:fldCharType="begin"/>
    </w:r>
    <w:r>
      <w:rPr>
        <w:sz w:val="20"/>
        <w:szCs w:val="20"/>
        <w:u w:val="single"/>
      </w:rPr>
      <w:instrText xml:space="preserve"> DATE \@"d.\ MMMM\ yyyy" </w:instrText>
    </w:r>
    <w:r>
      <w:rPr>
        <w:sz w:val="20"/>
        <w:szCs w:val="20"/>
        <w:u w:val="single"/>
      </w:rPr>
      <w:fldChar w:fldCharType="separate"/>
    </w:r>
    <w:r w:rsidR="002130BB">
      <w:rPr>
        <w:noProof/>
        <w:sz w:val="20"/>
        <w:szCs w:val="20"/>
        <w:u w:val="single"/>
      </w:rPr>
      <w:t>8. Dezember 2015</w:t>
    </w:r>
    <w:r>
      <w:rPr>
        <w:sz w:val="20"/>
        <w:szCs w:val="20"/>
        <w:u w:val="single"/>
      </w:rPr>
      <w:fldChar w:fldCharType="end"/>
    </w:r>
    <w:r>
      <w:rPr>
        <w:rFonts w:ascii="Verdana" w:hAnsi="Verdana"/>
        <w:sz w:val="20"/>
        <w:szCs w:val="20"/>
        <w:u w:val="single"/>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B4258"/>
    <w:multiLevelType w:val="hybridMultilevel"/>
    <w:tmpl w:val="3E6E6B3E"/>
    <w:lvl w:ilvl="0" w:tplc="AED828C4">
      <w:numFmt w:val="bullet"/>
      <w:lvlText w:val="-"/>
      <w:lvlJc w:val="left"/>
      <w:pPr>
        <w:ind w:left="510" w:hanging="360"/>
      </w:pPr>
      <w:rPr>
        <w:rFonts w:ascii="Times New Roman" w:eastAsia="Times New Roman" w:hAnsi="Times New Roman" w:cs="Times New Roman" w:hint="default"/>
      </w:rPr>
    </w:lvl>
    <w:lvl w:ilvl="1" w:tplc="04070003">
      <w:start w:val="1"/>
      <w:numFmt w:val="bullet"/>
      <w:lvlText w:val="o"/>
      <w:lvlJc w:val="left"/>
      <w:pPr>
        <w:ind w:left="1230" w:hanging="360"/>
      </w:pPr>
      <w:rPr>
        <w:rFonts w:ascii="Courier New" w:hAnsi="Courier New" w:cs="Courier New" w:hint="default"/>
      </w:rPr>
    </w:lvl>
    <w:lvl w:ilvl="2" w:tplc="04070005">
      <w:start w:val="1"/>
      <w:numFmt w:val="bullet"/>
      <w:lvlText w:val=""/>
      <w:lvlJc w:val="left"/>
      <w:pPr>
        <w:ind w:left="1950" w:hanging="360"/>
      </w:pPr>
      <w:rPr>
        <w:rFonts w:ascii="Wingdings" w:hAnsi="Wingdings" w:hint="default"/>
      </w:rPr>
    </w:lvl>
    <w:lvl w:ilvl="3" w:tplc="04070001">
      <w:start w:val="1"/>
      <w:numFmt w:val="bullet"/>
      <w:lvlText w:val=""/>
      <w:lvlJc w:val="left"/>
      <w:pPr>
        <w:ind w:left="2670" w:hanging="360"/>
      </w:pPr>
      <w:rPr>
        <w:rFonts w:ascii="Symbol" w:hAnsi="Symbol" w:hint="default"/>
      </w:rPr>
    </w:lvl>
    <w:lvl w:ilvl="4" w:tplc="04070003">
      <w:start w:val="1"/>
      <w:numFmt w:val="bullet"/>
      <w:lvlText w:val="o"/>
      <w:lvlJc w:val="left"/>
      <w:pPr>
        <w:ind w:left="3390" w:hanging="360"/>
      </w:pPr>
      <w:rPr>
        <w:rFonts w:ascii="Courier New" w:hAnsi="Courier New" w:cs="Courier New" w:hint="default"/>
      </w:rPr>
    </w:lvl>
    <w:lvl w:ilvl="5" w:tplc="04070005">
      <w:start w:val="1"/>
      <w:numFmt w:val="bullet"/>
      <w:lvlText w:val=""/>
      <w:lvlJc w:val="left"/>
      <w:pPr>
        <w:ind w:left="4110" w:hanging="360"/>
      </w:pPr>
      <w:rPr>
        <w:rFonts w:ascii="Wingdings" w:hAnsi="Wingdings" w:hint="default"/>
      </w:rPr>
    </w:lvl>
    <w:lvl w:ilvl="6" w:tplc="04070001">
      <w:start w:val="1"/>
      <w:numFmt w:val="bullet"/>
      <w:lvlText w:val=""/>
      <w:lvlJc w:val="left"/>
      <w:pPr>
        <w:ind w:left="4830" w:hanging="360"/>
      </w:pPr>
      <w:rPr>
        <w:rFonts w:ascii="Symbol" w:hAnsi="Symbol" w:hint="default"/>
      </w:rPr>
    </w:lvl>
    <w:lvl w:ilvl="7" w:tplc="04070003">
      <w:start w:val="1"/>
      <w:numFmt w:val="bullet"/>
      <w:lvlText w:val="o"/>
      <w:lvlJc w:val="left"/>
      <w:pPr>
        <w:ind w:left="5550" w:hanging="360"/>
      </w:pPr>
      <w:rPr>
        <w:rFonts w:ascii="Courier New" w:hAnsi="Courier New" w:cs="Courier New" w:hint="default"/>
      </w:rPr>
    </w:lvl>
    <w:lvl w:ilvl="8" w:tplc="04070005">
      <w:start w:val="1"/>
      <w:numFmt w:val="bullet"/>
      <w:lvlText w:val=""/>
      <w:lvlJc w:val="left"/>
      <w:pPr>
        <w:ind w:left="62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0BB"/>
    <w:rsid w:val="000D6465"/>
    <w:rsid w:val="002130BB"/>
    <w:rsid w:val="00662FC6"/>
    <w:rsid w:val="00B432B4"/>
    <w:rsid w:val="00C137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30BB"/>
    <w:pPr>
      <w:widowControl w:val="0"/>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pPr>
      <w:suppressLineNumbers/>
    </w:pPr>
  </w:style>
  <w:style w:type="paragraph" w:styleId="Fuzeile">
    <w:name w:val="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customStyle="1" w:styleId="HorizontaleLinie">
    <w:name w:val="Horizontale Linie"/>
    <w:basedOn w:val="Standard"/>
    <w:next w:val="Textkrper"/>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styleId="Sprechblasentext">
    <w:name w:val="Balloon Text"/>
    <w:basedOn w:val="Standard"/>
    <w:link w:val="SprechblasentextZchn"/>
    <w:uiPriority w:val="99"/>
    <w:semiHidden/>
    <w:unhideWhenUsed/>
    <w:rsid w:val="000D6465"/>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D6465"/>
    <w:rPr>
      <w:rFonts w:ascii="Tahoma" w:eastAsia="Arial Unicode MS" w:hAnsi="Tahoma" w:cs="Mangal"/>
      <w:kern w:val="1"/>
      <w:sz w:val="16"/>
      <w:szCs w:val="14"/>
      <w:lang w:eastAsia="zh-CN" w:bidi="hi-IN"/>
    </w:rPr>
  </w:style>
  <w:style w:type="paragraph" w:styleId="Listenabsatz">
    <w:name w:val="List Paragraph"/>
    <w:basedOn w:val="Standard"/>
    <w:uiPriority w:val="34"/>
    <w:qFormat/>
    <w:rsid w:val="002130BB"/>
    <w:pPr>
      <w:widowControl/>
      <w:suppressAutoHyphens w:val="0"/>
      <w:ind w:left="720"/>
      <w:contextualSpacing/>
    </w:pPr>
    <w:rPr>
      <w:rFonts w:eastAsia="Times New Roman" w:cs="Times New Roman"/>
      <w:kern w:val="0"/>
      <w:sz w:val="20"/>
      <w:szCs w:val="20"/>
      <w:lang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130BB"/>
    <w:pPr>
      <w:widowControl w:val="0"/>
      <w:suppressAutoHyphens/>
    </w:pPr>
    <w:rPr>
      <w:rFonts w:eastAsia="SimSun" w:cs="Mangal"/>
      <w:kern w:val="1"/>
      <w:sz w:val="24"/>
      <w:szCs w:val="24"/>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80"/>
      <w:u w:val="single"/>
    </w:rPr>
  </w:style>
  <w:style w:type="paragraph" w:customStyle="1" w:styleId="berschrift">
    <w:name w:val="Überschrift"/>
    <w:basedOn w:val="Standard"/>
    <w:next w:val="Textkrper"/>
    <w:pPr>
      <w:keepNext/>
      <w:spacing w:before="240" w:after="120"/>
    </w:pPr>
    <w:rPr>
      <w:rFonts w:ascii="Arial" w:hAnsi="Arial"/>
      <w:sz w:val="28"/>
      <w:szCs w:val="28"/>
    </w:rPr>
  </w:style>
  <w:style w:type="paragraph" w:styleId="Textkrper">
    <w:name w:val="Body Text"/>
    <w:basedOn w:val="Standard"/>
    <w:pPr>
      <w:spacing w:after="120"/>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pPr>
      <w:suppressLineNumbers/>
    </w:pPr>
  </w:style>
  <w:style w:type="paragraph" w:styleId="Fuzeile">
    <w:name w:val="footer"/>
    <w:basedOn w:val="Standard"/>
    <w:pPr>
      <w:suppressLineNumbers/>
      <w:tabs>
        <w:tab w:val="center" w:pos="4819"/>
        <w:tab w:val="right" w:pos="9638"/>
      </w:tabs>
    </w:pPr>
  </w:style>
  <w:style w:type="paragraph" w:styleId="Kopfzeile">
    <w:name w:val="header"/>
    <w:basedOn w:val="Standard"/>
    <w:pPr>
      <w:suppressLineNumbers/>
      <w:tabs>
        <w:tab w:val="center" w:pos="4819"/>
        <w:tab w:val="right" w:pos="9638"/>
      </w:tabs>
    </w:pPr>
  </w:style>
  <w:style w:type="paragraph" w:customStyle="1" w:styleId="HorizontaleLinie">
    <w:name w:val="Horizontale Linie"/>
    <w:basedOn w:val="Standard"/>
    <w:next w:val="Textkrper"/>
    <w:pPr>
      <w:suppressLineNumbers/>
      <w:pBdr>
        <w:top w:val="none" w:sz="0" w:space="0" w:color="000000"/>
        <w:left w:val="none" w:sz="0" w:space="0" w:color="000000"/>
        <w:bottom w:val="double" w:sz="1" w:space="0" w:color="808080"/>
        <w:right w:val="none" w:sz="0" w:space="0" w:color="000000"/>
      </w:pBdr>
      <w:spacing w:after="283"/>
    </w:pPr>
    <w:rPr>
      <w:sz w:val="12"/>
      <w:szCs w:val="12"/>
    </w:rPr>
  </w:style>
  <w:style w:type="paragraph" w:styleId="Sprechblasentext">
    <w:name w:val="Balloon Text"/>
    <w:basedOn w:val="Standard"/>
    <w:link w:val="SprechblasentextZchn"/>
    <w:uiPriority w:val="99"/>
    <w:semiHidden/>
    <w:unhideWhenUsed/>
    <w:rsid w:val="000D6465"/>
    <w:rPr>
      <w:rFonts w:ascii="Tahoma" w:hAnsi="Tahoma"/>
      <w:sz w:val="16"/>
      <w:szCs w:val="14"/>
    </w:rPr>
  </w:style>
  <w:style w:type="character" w:customStyle="1" w:styleId="SprechblasentextZchn">
    <w:name w:val="Sprechblasentext Zchn"/>
    <w:basedOn w:val="Absatz-Standardschriftart"/>
    <w:link w:val="Sprechblasentext"/>
    <w:uiPriority w:val="99"/>
    <w:semiHidden/>
    <w:rsid w:val="000D6465"/>
    <w:rPr>
      <w:rFonts w:ascii="Tahoma" w:eastAsia="Arial Unicode MS" w:hAnsi="Tahoma" w:cs="Mangal"/>
      <w:kern w:val="1"/>
      <w:sz w:val="16"/>
      <w:szCs w:val="14"/>
      <w:lang w:eastAsia="zh-CN" w:bidi="hi-IN"/>
    </w:rPr>
  </w:style>
  <w:style w:type="paragraph" w:styleId="Listenabsatz">
    <w:name w:val="List Paragraph"/>
    <w:basedOn w:val="Standard"/>
    <w:uiPriority w:val="34"/>
    <w:qFormat/>
    <w:rsid w:val="002130BB"/>
    <w:pPr>
      <w:widowControl/>
      <w:suppressAutoHyphens w:val="0"/>
      <w:ind w:left="720"/>
      <w:contextualSpacing/>
    </w:pPr>
    <w:rPr>
      <w:rFonts w:eastAsia="Times New Roman" w:cs="Times New Roman"/>
      <w:kern w:val="0"/>
      <w:sz w:val="20"/>
      <w:szCs w:val="20"/>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Desktop\PR%20Tex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 Text</Template>
  <TotalTime>0</TotalTime>
  <Pages>1</Pages>
  <Words>268</Words>
  <Characters>1877</Characters>
  <Application>Microsoft Office Word</Application>
  <DocSecurity>0</DocSecurity>
  <Lines>25</Lines>
  <Paragraphs>1</Paragraphs>
  <ScaleCrop>false</ScaleCrop>
  <HeadingPairs>
    <vt:vector size="2" baseType="variant">
      <vt:variant>
        <vt:lpstr>Titel</vt:lpstr>
      </vt:variant>
      <vt:variant>
        <vt:i4>1</vt:i4>
      </vt:variant>
    </vt:vector>
  </HeadingPairs>
  <TitlesOfParts>
    <vt:vector size="1" baseType="lpstr">
      <vt:lpstr>PR Telegramm</vt:lpstr>
    </vt:vector>
  </TitlesOfParts>
  <Company>HUB</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Telegramm</dc:title>
  <dc:creator>Reinhold Wulff</dc:creator>
  <cp:lastModifiedBy>Reinhold Wulff</cp:lastModifiedBy>
  <cp:revision>1</cp:revision>
  <cp:lastPrinted>1900-12-31T23:00:00Z</cp:lastPrinted>
  <dcterms:created xsi:type="dcterms:W3CDTF">2015-12-08T13:46:00Z</dcterms:created>
  <dcterms:modified xsi:type="dcterms:W3CDTF">2015-12-08T13:51:00Z</dcterms:modified>
</cp:coreProperties>
</file>