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85" w:rsidRDefault="00377B85" w:rsidP="00377B85">
      <w:pPr>
        <w:jc w:val="both"/>
        <w:rPr>
          <w:rFonts w:ascii="Verdana" w:hAnsi="Verdana" w:cs="Verdana"/>
          <w:b/>
          <w:sz w:val="20"/>
        </w:rPr>
      </w:pPr>
      <w:r w:rsidRPr="006D20A1">
        <w:rPr>
          <w:rFonts w:ascii="Verdana" w:hAnsi="Verdana" w:cs="Verdana"/>
          <w:b/>
          <w:sz w:val="30"/>
          <w:szCs w:val="30"/>
        </w:rPr>
        <w:t>D</w:t>
      </w:r>
      <w:r w:rsidRPr="006D20A1">
        <w:rPr>
          <w:rFonts w:ascii="Verdana" w:hAnsi="Verdana" w:cs="Verdana"/>
          <w:b/>
          <w:sz w:val="20"/>
        </w:rPr>
        <w:t>ienstvereinbarungen</w:t>
      </w:r>
      <w:r w:rsidR="001A6332">
        <w:rPr>
          <w:rFonts w:ascii="Verdana" w:hAnsi="Verdana" w:cs="Verdana"/>
          <w:b/>
          <w:sz w:val="20"/>
        </w:rPr>
        <w:t xml:space="preserve"> 2015</w:t>
      </w:r>
      <w:bookmarkStart w:id="0" w:name="_GoBack"/>
      <w:bookmarkEnd w:id="0"/>
    </w:p>
    <w:p w:rsidR="00377B85" w:rsidRDefault="00377B85" w:rsidP="00377B8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DV Qualifizierung</w:t>
      </w:r>
    </w:p>
    <w:p w:rsidR="00377B85" w:rsidRDefault="00377B85" w:rsidP="00377B85">
      <w:pPr>
        <w:jc w:val="both"/>
        <w:rPr>
          <w:rFonts w:ascii="Verdana" w:hAnsi="Verdana" w:cs="Verdana"/>
          <w:sz w:val="20"/>
          <w:shd w:val="clear" w:color="auto" w:fill="FFFFFF"/>
        </w:rPr>
      </w:pPr>
      <w:r w:rsidRPr="0037683D">
        <w:rPr>
          <w:rFonts w:ascii="Verdana" w:hAnsi="Verdana" w:cs="Verdana"/>
          <w:sz w:val="20"/>
          <w:shd w:val="clear" w:color="auto" w:fill="FFFFFF"/>
        </w:rPr>
        <w:t xml:space="preserve">Der Personalrat des Hochschulbereiches arbeitet seit einiger Zeit an einer Dienstvereinbarung Qualifizierung. Im § 5 des TV-L </w:t>
      </w:r>
      <w:r>
        <w:rPr>
          <w:rFonts w:ascii="Verdana" w:hAnsi="Verdana" w:cs="Verdana"/>
          <w:sz w:val="20"/>
          <w:shd w:val="clear" w:color="auto" w:fill="FFFFFF"/>
        </w:rPr>
        <w:t>(</w:t>
      </w:r>
      <w:r w:rsidRPr="0037683D">
        <w:rPr>
          <w:rFonts w:ascii="Verdana" w:hAnsi="Verdana" w:cs="Verdana"/>
          <w:sz w:val="20"/>
          <w:shd w:val="clear" w:color="auto" w:fill="FFFFFF"/>
        </w:rPr>
        <w:t>der HU</w:t>
      </w:r>
      <w:r>
        <w:rPr>
          <w:rFonts w:ascii="Verdana" w:hAnsi="Verdana" w:cs="Verdana"/>
          <w:sz w:val="20"/>
          <w:shd w:val="clear" w:color="auto" w:fill="FFFFFF"/>
        </w:rPr>
        <w:t>)</w:t>
      </w:r>
      <w:r w:rsidRPr="0037683D">
        <w:rPr>
          <w:rFonts w:ascii="Verdana" w:hAnsi="Verdana" w:cs="Verdana"/>
          <w:sz w:val="20"/>
          <w:shd w:val="clear" w:color="auto" w:fill="FFFFFF"/>
        </w:rPr>
        <w:t xml:space="preserve"> wird das gemeinsame Interesse von Beschäftigten und Arbeitgebern an einem hohen Qualifikationsniveau und lebenslangem Lernen betont. </w:t>
      </w:r>
      <w:r>
        <w:rPr>
          <w:rFonts w:ascii="Verdana" w:hAnsi="Verdana" w:cs="Verdana"/>
          <w:sz w:val="20"/>
          <w:shd w:val="clear" w:color="auto" w:fill="FFFFFF"/>
        </w:rPr>
        <w:t xml:space="preserve">In der Dienstvereinbarung geht es um die konkrete Ausgestaltung, um eine Regelung zur Ermittlung von Qualifizierungsbedarf, –anspruch und -folgen. </w:t>
      </w:r>
      <w:r w:rsidRPr="009C2FC8">
        <w:rPr>
          <w:rFonts w:ascii="Verdana" w:hAnsi="Verdana" w:cs="Verdana"/>
          <w:sz w:val="20"/>
          <w:shd w:val="clear" w:color="auto" w:fill="FFFFFF"/>
        </w:rPr>
        <w:t>Die angestrebten Qualifizierungs</w:t>
      </w:r>
      <w:r>
        <w:rPr>
          <w:rFonts w:ascii="Verdana" w:hAnsi="Verdana" w:cs="Verdana"/>
          <w:sz w:val="20"/>
          <w:shd w:val="clear" w:color="auto" w:fill="FFFFFF"/>
        </w:rPr>
        <w:t>-</w:t>
      </w:r>
      <w:r w:rsidRPr="009C2FC8">
        <w:rPr>
          <w:rFonts w:ascii="Verdana" w:hAnsi="Verdana" w:cs="Verdana"/>
          <w:sz w:val="20"/>
          <w:shd w:val="clear" w:color="auto" w:fill="FFFFFF"/>
        </w:rPr>
        <w:t>regelungen sollen die Individualrechte der Beschäftigten stärken</w:t>
      </w:r>
      <w:r>
        <w:rPr>
          <w:rFonts w:ascii="Verdana" w:hAnsi="Verdana" w:cs="Verdana"/>
          <w:sz w:val="20"/>
          <w:shd w:val="clear" w:color="auto" w:fill="FFFFFF"/>
        </w:rPr>
        <w:t xml:space="preserve"> und </w:t>
      </w:r>
      <w:r w:rsidRPr="009C2FC8">
        <w:rPr>
          <w:rFonts w:ascii="Verdana" w:hAnsi="Verdana" w:cs="Verdana"/>
          <w:sz w:val="20"/>
          <w:shd w:val="clear" w:color="auto" w:fill="FFFFFF"/>
        </w:rPr>
        <w:t xml:space="preserve">ein Anspruch auf Qualifizierung an der HU fixiert werden. </w:t>
      </w:r>
      <w:r>
        <w:rPr>
          <w:rFonts w:ascii="Verdana" w:hAnsi="Verdana" w:cs="Verdana"/>
          <w:sz w:val="20"/>
          <w:shd w:val="clear" w:color="auto" w:fill="FFFFFF"/>
        </w:rPr>
        <w:t xml:space="preserve">Der Personalrat steht auf dem Standpunkt, dass sich Qualifizierung auch lohnen muss. Mit der Universitätsleitung sollen Möglichkeiten diskutiert werden, wie man ein solches Anreizsystem gestalten kann. Qualifizierung und Personalent-wicklung sind eng miteinander verknüpft. Wir entwickeln dafür ein Konzept, das in einer Art Baukasten verschiedene Komponenten anbietet, </w:t>
      </w:r>
      <w:r w:rsidRPr="004C444F">
        <w:rPr>
          <w:rFonts w:ascii="Verdana" w:hAnsi="Verdana" w:cs="Verdana"/>
          <w:sz w:val="20"/>
          <w:shd w:val="clear" w:color="auto" w:fill="FFFFFF"/>
        </w:rPr>
        <w:t xml:space="preserve">z.B. </w:t>
      </w:r>
      <w:r w:rsidRPr="004C444F">
        <w:rPr>
          <w:rFonts w:ascii="Verdana" w:hAnsi="Verdana"/>
          <w:sz w:val="20"/>
          <w:szCs w:val="20"/>
        </w:rPr>
        <w:t xml:space="preserve">Vereinbarungen zur gezielten Förderung von HU-Beschäftigten, </w:t>
      </w:r>
      <w:r w:rsidRPr="004C444F">
        <w:rPr>
          <w:rFonts w:ascii="Verdana" w:hAnsi="Verdana" w:cs="Verdana"/>
          <w:sz w:val="20"/>
          <w:shd w:val="clear" w:color="auto" w:fill="FFFFFF"/>
        </w:rPr>
        <w:t xml:space="preserve">Vorrangregelung für HU-Personal bei Besetzung von Dauerstellen, </w:t>
      </w:r>
      <w:r>
        <w:rPr>
          <w:rFonts w:ascii="Verdana" w:hAnsi="Verdana" w:cs="Verdana"/>
          <w:sz w:val="20"/>
          <w:shd w:val="clear" w:color="auto" w:fill="FFFFFF"/>
        </w:rPr>
        <w:t>materielle</w:t>
      </w:r>
      <w:r w:rsidRPr="004C444F">
        <w:rPr>
          <w:rFonts w:ascii="Verdana" w:hAnsi="Verdana" w:cs="Verdana"/>
          <w:sz w:val="20"/>
          <w:shd w:val="clear" w:color="auto" w:fill="FFFFFF"/>
        </w:rPr>
        <w:t xml:space="preserve"> Anerkennung</w:t>
      </w:r>
      <w:r>
        <w:rPr>
          <w:rFonts w:ascii="Verdana" w:hAnsi="Verdana" w:cs="Verdana"/>
          <w:sz w:val="20"/>
          <w:shd w:val="clear" w:color="auto" w:fill="FFFFFF"/>
        </w:rPr>
        <w:t xml:space="preserve"> über einen „Expertinnenstatus“,</w:t>
      </w:r>
      <w:r w:rsidRPr="004C444F">
        <w:rPr>
          <w:rFonts w:ascii="Verdana" w:hAnsi="Verdana" w:cs="Verdana"/>
          <w:sz w:val="20"/>
          <w:shd w:val="clear" w:color="auto" w:fill="FFFFFF"/>
        </w:rPr>
        <w:t xml:space="preserve"> verantwortungsvolle Befristungs</w:t>
      </w:r>
      <w:r>
        <w:rPr>
          <w:rFonts w:ascii="Verdana" w:hAnsi="Verdana" w:cs="Verdana"/>
          <w:sz w:val="20"/>
          <w:shd w:val="clear" w:color="auto" w:fill="FFFFFF"/>
        </w:rPr>
        <w:t>-</w:t>
      </w:r>
      <w:r w:rsidRPr="004C444F">
        <w:rPr>
          <w:rFonts w:ascii="Verdana" w:hAnsi="Verdana" w:cs="Verdana"/>
          <w:sz w:val="20"/>
          <w:shd w:val="clear" w:color="auto" w:fill="FFFFFF"/>
        </w:rPr>
        <w:t xml:space="preserve">praxis, Anerkennung </w:t>
      </w:r>
      <w:r>
        <w:rPr>
          <w:rFonts w:ascii="Verdana" w:hAnsi="Verdana" w:cs="Verdana"/>
          <w:sz w:val="20"/>
          <w:shd w:val="clear" w:color="auto" w:fill="FFFFFF"/>
        </w:rPr>
        <w:t>wissenschaftlicher Karrieren (E</w:t>
      </w:r>
      <w:r w:rsidRPr="004C444F">
        <w:rPr>
          <w:rFonts w:ascii="Verdana" w:hAnsi="Verdana" w:cs="Verdana"/>
          <w:sz w:val="20"/>
          <w:shd w:val="clear" w:color="auto" w:fill="FFFFFF"/>
        </w:rPr>
        <w:t>14/E15), gezielter internationaler Austausch.</w:t>
      </w:r>
    </w:p>
    <w:p w:rsidR="00377B85" w:rsidRDefault="00377B85" w:rsidP="00377B85">
      <w:pPr>
        <w:pStyle w:val="Default"/>
        <w:jc w:val="both"/>
        <w:rPr>
          <w:color w:val="auto"/>
          <w:sz w:val="20"/>
          <w:szCs w:val="20"/>
        </w:rPr>
      </w:pPr>
    </w:p>
    <w:p w:rsidR="00377B85" w:rsidRDefault="00377B85" w:rsidP="00377B85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DV Telearbeit </w:t>
      </w:r>
    </w:p>
    <w:p w:rsidR="00377B85" w:rsidRPr="00E37E25" w:rsidRDefault="00377B85" w:rsidP="00377B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</w:pP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Eine Dienstvereinbarung zur alternierenden Telearbeit ist Gegenstand von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Verhandlungen zwischen Gesamtpersonalrat und Universitätsleitung.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Alternierende Telearbeit liegt vor, wenn B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e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schäftigte ihre individuelle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regelmäßige Arbeitsleistung im Wechsel zwischen der häuslichen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A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r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beitsstätte und der Beschäftigungsstelle erbringen. Im Entwurf der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Präambel heißt es: „Die alternierende Telearbeit dient der verbesserten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Vereinbarkeit von Familie bzw. der individu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softHyphen/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ellen Lebensführung und den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dienstlichen Anforderungen sowie zur Erhöhung der Arbeitszu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softHyphen/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fri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e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denheit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und Motivation.“ In der Dienstvereinbarung sollen Voraussetzungen und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Bedingun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softHyphen/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gen geregelt werden, die Beschäftigten ermöglichen, ihre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Arbeitsaufgaben im „Homeoffice“ zu e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r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bringen. Die häusliche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Arbeitsstätte ist dabei durch elektronische Kommunikationsmittel mit der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Beschäftigungsstelle verbunden. Der Geltungsbereich wird sich auf die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hauptberuflich an der HU Beschäftigten und die studentischen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</w:t>
      </w:r>
      <w:r w:rsidRPr="00E37E25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Beschäftigten erstrecken. </w:t>
      </w:r>
      <w:r w:rsidRPr="004C444F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Die konkrete Ausge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softHyphen/>
      </w:r>
      <w:r w:rsidRPr="004C444F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staltung der alternierenden Telearbeit ist abhängig von der Art der Tätigkeiten, den techni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softHyphen/>
      </w:r>
      <w:r w:rsidRPr="004C444F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sche</w:t>
      </w:r>
      <w:r w:rsidRPr="004C444F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n</w:t>
      </w:r>
      <w:r w:rsidRPr="004C444F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 xml:space="preserve"> Möglichkeiten und den zu erbringenden Arbeitsergebnissen, deshalb kann ein Rechtsan</w:t>
      </w:r>
      <w:r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softHyphen/>
      </w:r>
      <w:r w:rsidRPr="004C444F">
        <w:rPr>
          <w:rFonts w:ascii="Verdana" w:eastAsia="Times New Roman" w:hAnsi="Verdana" w:cs="Courier New"/>
          <w:kern w:val="0"/>
          <w:sz w:val="20"/>
          <w:szCs w:val="20"/>
          <w:lang w:eastAsia="de-DE" w:bidi="ar-SA"/>
        </w:rPr>
        <w:t>spruch nicht vorgesehen werden. Die Beteiligten gehen davon aus, dass ein Abschluss dieser Dienstvereinbarung noch im Jahr 2015 erfolgen kann.</w:t>
      </w:r>
    </w:p>
    <w:p w:rsidR="00377B85" w:rsidRDefault="00377B85" w:rsidP="00377B85">
      <w:pPr>
        <w:pStyle w:val="Default"/>
        <w:jc w:val="both"/>
        <w:rPr>
          <w:color w:val="auto"/>
          <w:sz w:val="20"/>
          <w:szCs w:val="20"/>
        </w:rPr>
      </w:pPr>
    </w:p>
    <w:p w:rsidR="00377B85" w:rsidRDefault="00377B85" w:rsidP="00377B85">
      <w:pPr>
        <w:pStyle w:val="Default"/>
        <w:jc w:val="both"/>
        <w:rPr>
          <w:color w:val="auto"/>
          <w:sz w:val="20"/>
          <w:szCs w:val="20"/>
        </w:rPr>
      </w:pPr>
      <w:r w:rsidRPr="00E97FDB">
        <w:rPr>
          <w:sz w:val="20"/>
          <w:szCs w:val="20"/>
        </w:rPr>
        <w:t>D</w:t>
      </w:r>
      <w:r>
        <w:rPr>
          <w:sz w:val="20"/>
          <w:szCs w:val="20"/>
        </w:rPr>
        <w:t>GUV Vorschrift 2</w:t>
      </w:r>
      <w:r>
        <w:rPr>
          <w:color w:val="auto"/>
          <w:sz w:val="20"/>
          <w:szCs w:val="20"/>
        </w:rPr>
        <w:t xml:space="preserve"> </w:t>
      </w:r>
    </w:p>
    <w:p w:rsidR="00377B85" w:rsidRPr="00E97FDB" w:rsidRDefault="00377B85" w:rsidP="00377B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E97FDB">
        <w:rPr>
          <w:rFonts w:ascii="Verdana" w:hAnsi="Verdana"/>
          <w:sz w:val="20"/>
          <w:szCs w:val="20"/>
        </w:rPr>
        <w:t>iese Abkürzung steht für die Unfallverhütungsvorschrift 2 der „Deutsche Gesetzliche Unfallver</w:t>
      </w:r>
      <w:r>
        <w:rPr>
          <w:rFonts w:ascii="Verdana" w:hAnsi="Verdana"/>
          <w:sz w:val="20"/>
          <w:szCs w:val="20"/>
        </w:rPr>
        <w:t>sicherung</w:t>
      </w:r>
      <w:r w:rsidRPr="00E97FDB">
        <w:rPr>
          <w:rFonts w:ascii="Verdana" w:hAnsi="Verdana"/>
          <w:sz w:val="20"/>
          <w:szCs w:val="20"/>
        </w:rPr>
        <w:t>“. Die Vo</w:t>
      </w:r>
      <w:r>
        <w:rPr>
          <w:rFonts w:ascii="Verdana" w:hAnsi="Verdana"/>
          <w:sz w:val="20"/>
          <w:szCs w:val="20"/>
        </w:rPr>
        <w:t>rschrift gilt seit dem 01.01.</w:t>
      </w:r>
      <w:r w:rsidRPr="00E97FDB">
        <w:rPr>
          <w:rFonts w:ascii="Verdana" w:hAnsi="Verdana"/>
          <w:sz w:val="20"/>
          <w:szCs w:val="20"/>
        </w:rPr>
        <w:t xml:space="preserve">2011. </w:t>
      </w:r>
      <w:r>
        <w:rPr>
          <w:rFonts w:ascii="Verdana" w:hAnsi="Verdana"/>
          <w:sz w:val="20"/>
          <w:szCs w:val="20"/>
        </w:rPr>
        <w:t>D</w:t>
      </w:r>
      <w:r w:rsidRPr="00E97FD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 w:rsidRPr="00E97F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Arbeitgeber/die Leitung der HU</w:t>
      </w:r>
      <w:r w:rsidRPr="00E97FDB">
        <w:rPr>
          <w:rFonts w:ascii="Verdana" w:hAnsi="Verdana"/>
          <w:sz w:val="20"/>
          <w:szCs w:val="20"/>
        </w:rPr>
        <w:t xml:space="preserve"> ist gesetzlich verpflichtet, die Vorschrift umzusetzen</w:t>
      </w:r>
      <w:r>
        <w:rPr>
          <w:rFonts w:ascii="Verdana" w:hAnsi="Verdana"/>
          <w:sz w:val="20"/>
          <w:szCs w:val="20"/>
        </w:rPr>
        <w:t xml:space="preserve">. </w:t>
      </w:r>
      <w:r w:rsidRPr="00E97FDB">
        <w:rPr>
          <w:rFonts w:ascii="Verdana" w:hAnsi="Verdana"/>
          <w:sz w:val="20"/>
          <w:szCs w:val="20"/>
        </w:rPr>
        <w:t xml:space="preserve">Mit </w:t>
      </w:r>
      <w:r>
        <w:rPr>
          <w:rFonts w:ascii="Verdana" w:hAnsi="Verdana"/>
          <w:sz w:val="20"/>
          <w:szCs w:val="20"/>
        </w:rPr>
        <w:t xml:space="preserve">dieser Vorschrift </w:t>
      </w:r>
      <w:r w:rsidRPr="00E97FDB">
        <w:rPr>
          <w:rFonts w:ascii="Verdana" w:hAnsi="Verdana"/>
          <w:sz w:val="20"/>
          <w:szCs w:val="20"/>
        </w:rPr>
        <w:t xml:space="preserve"> gibt es eine einheitliche Vorgabe zur Konkretisierung des Arbeitssicherheitsgesetzes(ASiG)</w:t>
      </w:r>
      <w:r>
        <w:rPr>
          <w:rFonts w:ascii="Verdana" w:hAnsi="Verdana"/>
          <w:sz w:val="20"/>
          <w:szCs w:val="20"/>
        </w:rPr>
        <w:t xml:space="preserve">. Für die HU </w:t>
      </w:r>
      <w:r w:rsidRPr="001A238A">
        <w:rPr>
          <w:rFonts w:ascii="Verdana" w:hAnsi="Verdana"/>
          <w:sz w:val="20"/>
          <w:szCs w:val="20"/>
        </w:rPr>
        <w:t>müssen die erforderlichen Einsatzzeiten von Fachkräften für Arbeitssicherheit und Betriebsärzten in der allgemeinen Grundversorgung (z.</w:t>
      </w:r>
      <w:r>
        <w:rPr>
          <w:rFonts w:ascii="Verdana" w:hAnsi="Verdana"/>
          <w:sz w:val="20"/>
          <w:szCs w:val="20"/>
        </w:rPr>
        <w:t xml:space="preserve"> </w:t>
      </w:r>
      <w:r w:rsidRPr="001A238A">
        <w:rPr>
          <w:rFonts w:ascii="Verdana" w:hAnsi="Verdana"/>
          <w:sz w:val="20"/>
          <w:szCs w:val="20"/>
        </w:rPr>
        <w:t>B. für Arbeitsplatzbegehungen, Gefährdungsbeurteilungen und Vorsorgeuntersuchungen,...) und der weiteren betriebs</w:t>
      </w:r>
      <w:r>
        <w:rPr>
          <w:rFonts w:ascii="Verdana" w:hAnsi="Verdana"/>
          <w:sz w:val="20"/>
          <w:szCs w:val="20"/>
        </w:rPr>
        <w:t>-</w:t>
      </w:r>
      <w:r w:rsidRPr="001A238A">
        <w:rPr>
          <w:rFonts w:ascii="Verdana" w:hAnsi="Verdana"/>
          <w:sz w:val="20"/>
          <w:szCs w:val="20"/>
        </w:rPr>
        <w:t xml:space="preserve">spezifischen Betreuung (durch die Besonderheiten eines Wissenschaftsbetriebes mit Studierenden und internationalen Arbeitsgruppen, häufig wechselndem Personal, </w:t>
      </w:r>
      <w:r>
        <w:rPr>
          <w:rFonts w:ascii="Verdana" w:hAnsi="Verdana"/>
          <w:sz w:val="20"/>
          <w:szCs w:val="20"/>
        </w:rPr>
        <w:t xml:space="preserve">großen Drittmittelbereichen,…) </w:t>
      </w:r>
      <w:r w:rsidRPr="001A238A">
        <w:rPr>
          <w:rFonts w:ascii="Verdana" w:hAnsi="Verdana"/>
          <w:sz w:val="20"/>
          <w:szCs w:val="20"/>
        </w:rPr>
        <w:t>diskutiert und vereinbart werden. Nachdem das Präsidium der HU den Initiativantrag der HU-Personalräte abgelehnt hat, wird nun zwischen Präsidium und Gesamt</w:t>
      </w:r>
      <w:r>
        <w:rPr>
          <w:rFonts w:ascii="Verdana" w:hAnsi="Verdana"/>
          <w:sz w:val="20"/>
          <w:szCs w:val="20"/>
        </w:rPr>
        <w:t>-</w:t>
      </w:r>
      <w:r w:rsidRPr="001A238A">
        <w:rPr>
          <w:rFonts w:ascii="Verdana" w:hAnsi="Verdana"/>
          <w:sz w:val="20"/>
          <w:szCs w:val="20"/>
        </w:rPr>
        <w:t xml:space="preserve">personalrat über den Abschluss einer Dienstvereinbarung zur Umsetzung der DGUV-V2 </w:t>
      </w:r>
      <w:r>
        <w:rPr>
          <w:rFonts w:ascii="Verdana" w:hAnsi="Verdana"/>
          <w:sz w:val="20"/>
          <w:szCs w:val="20"/>
        </w:rPr>
        <w:t>ver-handelt</w:t>
      </w:r>
      <w:r w:rsidRPr="001A238A">
        <w:rPr>
          <w:rFonts w:ascii="Verdana" w:hAnsi="Verdana"/>
          <w:sz w:val="20"/>
          <w:szCs w:val="20"/>
        </w:rPr>
        <w:t>. Die unterschiedlichen Auffassungen, insbesondere zur Festlegung des betriebs</w:t>
      </w:r>
      <w:r>
        <w:rPr>
          <w:rFonts w:ascii="Verdana" w:hAnsi="Verdana"/>
          <w:sz w:val="20"/>
          <w:szCs w:val="20"/>
        </w:rPr>
        <w:t>-</w:t>
      </w:r>
      <w:r w:rsidRPr="001A238A">
        <w:rPr>
          <w:rFonts w:ascii="Verdana" w:hAnsi="Verdana"/>
          <w:sz w:val="20"/>
          <w:szCs w:val="20"/>
        </w:rPr>
        <w:t>spezifischen Bedarfs, bestehen fort.</w:t>
      </w:r>
    </w:p>
    <w:p w:rsidR="000D6465" w:rsidRDefault="000D6465"/>
    <w:sectPr w:rsidR="000D6465">
      <w:headerReference w:type="default" r:id="rId7"/>
      <w:footerReference w:type="default" r:id="rId8"/>
      <w:pgSz w:w="11906" w:h="16838"/>
      <w:pgMar w:top="1903" w:right="1134" w:bottom="208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49" w:rsidRDefault="00767B49">
      <w:r>
        <w:separator/>
      </w:r>
    </w:p>
  </w:endnote>
  <w:endnote w:type="continuationSeparator" w:id="0">
    <w:p w:rsidR="00767B49" w:rsidRDefault="007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B4" w:rsidRDefault="00B432B4">
    <w:pPr>
      <w:pStyle w:val="HorizontaleLinie"/>
    </w:pPr>
  </w:p>
  <w:p w:rsidR="00B432B4" w:rsidRDefault="00C13767">
    <w:pPr>
      <w:pStyle w:val="Fuzeile"/>
    </w:pPr>
    <w:r>
      <w:rPr>
        <w:rFonts w:ascii="Verdana" w:hAnsi="Verdana"/>
        <w:sz w:val="20"/>
        <w:szCs w:val="20"/>
      </w:rPr>
      <w:t xml:space="preserve">Personalrat des Hochschulbereichs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\@"d.\ MMMM\ yyyy" </w:instrText>
    </w:r>
    <w:r>
      <w:rPr>
        <w:sz w:val="20"/>
        <w:szCs w:val="20"/>
      </w:rPr>
      <w:fldChar w:fldCharType="separate"/>
    </w:r>
    <w:r w:rsidR="00377B85">
      <w:rPr>
        <w:noProof/>
        <w:sz w:val="20"/>
        <w:szCs w:val="20"/>
      </w:rPr>
      <w:t>8. Dezember 2015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49" w:rsidRDefault="00767B49">
      <w:r>
        <w:separator/>
      </w:r>
    </w:p>
  </w:footnote>
  <w:footnote w:type="continuationSeparator" w:id="0">
    <w:p w:rsidR="00767B49" w:rsidRDefault="0076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B4" w:rsidRDefault="00C13767">
    <w:pPr>
      <w:pStyle w:val="Fuzeile"/>
    </w:pPr>
    <w:r>
      <w:rPr>
        <w:rFonts w:ascii="Verdana" w:hAnsi="Verdana"/>
        <w:sz w:val="20"/>
        <w:szCs w:val="20"/>
        <w:u w:val="single"/>
      </w:rPr>
      <w:t xml:space="preserve">Personalrat des Hochschulbereichs                                                         </w:t>
    </w:r>
    <w:r>
      <w:rPr>
        <w:sz w:val="20"/>
        <w:szCs w:val="20"/>
        <w:u w:val="single"/>
      </w:rPr>
      <w:fldChar w:fldCharType="begin"/>
    </w:r>
    <w:r>
      <w:rPr>
        <w:sz w:val="20"/>
        <w:szCs w:val="20"/>
        <w:u w:val="single"/>
      </w:rPr>
      <w:instrText xml:space="preserve"> DATE \@"d.\ MMMM\ yyyy" </w:instrText>
    </w:r>
    <w:r>
      <w:rPr>
        <w:sz w:val="20"/>
        <w:szCs w:val="20"/>
        <w:u w:val="single"/>
      </w:rPr>
      <w:fldChar w:fldCharType="separate"/>
    </w:r>
    <w:r w:rsidR="00377B85">
      <w:rPr>
        <w:noProof/>
        <w:sz w:val="20"/>
        <w:szCs w:val="20"/>
        <w:u w:val="single"/>
      </w:rPr>
      <w:t>8. Dezember 2015</w:t>
    </w:r>
    <w:r>
      <w:rPr>
        <w:sz w:val="20"/>
        <w:szCs w:val="20"/>
        <w:u w:val="single"/>
      </w:rPr>
      <w:fldChar w:fldCharType="end"/>
    </w:r>
    <w:r>
      <w:rPr>
        <w:rFonts w:ascii="Verdana" w:hAnsi="Verdana"/>
        <w:sz w:val="20"/>
        <w:szCs w:val="20"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85"/>
    <w:rsid w:val="000D6465"/>
    <w:rsid w:val="001A6332"/>
    <w:rsid w:val="00377B85"/>
    <w:rsid w:val="00767B49"/>
    <w:rsid w:val="00B432B4"/>
    <w:rsid w:val="00C1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7B8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/>
      <w:sz w:val="28"/>
      <w:szCs w:val="28"/>
      <w:lang w:eastAsia="zh-CN"/>
    </w:rPr>
  </w:style>
  <w:style w:type="paragraph" w:styleId="Textkrper">
    <w:name w:val="Body Text"/>
    <w:basedOn w:val="Standard"/>
    <w:pPr>
      <w:spacing w:after="120"/>
    </w:pPr>
    <w:rPr>
      <w:rFonts w:eastAsia="Arial Unicode MS"/>
      <w:lang w:eastAsia="zh-CN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eastAsia="Arial Unicode MS"/>
      <w:i/>
      <w:iCs/>
      <w:lang w:eastAsia="zh-CN"/>
    </w:rPr>
  </w:style>
  <w:style w:type="paragraph" w:customStyle="1" w:styleId="Verzeichnis">
    <w:name w:val="Verzeichnis"/>
    <w:basedOn w:val="Standard"/>
    <w:pPr>
      <w:suppressLineNumbers/>
    </w:pPr>
    <w:rPr>
      <w:rFonts w:eastAsia="Arial Unicode MS"/>
      <w:lang w:eastAsia="zh-CN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rFonts w:eastAsia="Arial Unicode MS"/>
      <w:sz w:val="12"/>
      <w:szCs w:val="12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465"/>
    <w:rPr>
      <w:rFonts w:ascii="Tahoma" w:eastAsia="Arial Unicode MS" w:hAnsi="Tahoma"/>
      <w:sz w:val="16"/>
      <w:szCs w:val="14"/>
      <w:lang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46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377B85"/>
    <w:pPr>
      <w:suppressAutoHyphens/>
      <w:autoSpaceDE w:val="0"/>
    </w:pPr>
    <w:rPr>
      <w:rFonts w:ascii="Verdana" w:eastAsia="Calibri" w:hAnsi="Verdana" w:cs="Verdana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7B8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/>
      <w:sz w:val="28"/>
      <w:szCs w:val="28"/>
      <w:lang w:eastAsia="zh-CN"/>
    </w:rPr>
  </w:style>
  <w:style w:type="paragraph" w:styleId="Textkrper">
    <w:name w:val="Body Text"/>
    <w:basedOn w:val="Standard"/>
    <w:pPr>
      <w:spacing w:after="120"/>
    </w:pPr>
    <w:rPr>
      <w:rFonts w:eastAsia="Arial Unicode MS"/>
      <w:lang w:eastAsia="zh-CN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eastAsia="Arial Unicode MS"/>
      <w:i/>
      <w:iCs/>
      <w:lang w:eastAsia="zh-CN"/>
    </w:rPr>
  </w:style>
  <w:style w:type="paragraph" w:customStyle="1" w:styleId="Verzeichnis">
    <w:name w:val="Verzeichnis"/>
    <w:basedOn w:val="Standard"/>
    <w:pPr>
      <w:suppressLineNumbers/>
    </w:pPr>
    <w:rPr>
      <w:rFonts w:eastAsia="Arial Unicode MS"/>
      <w:lang w:eastAsia="zh-CN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rFonts w:eastAsia="Arial Unicode MS"/>
      <w:sz w:val="12"/>
      <w:szCs w:val="12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465"/>
    <w:rPr>
      <w:rFonts w:ascii="Tahoma" w:eastAsia="Arial Unicode MS" w:hAnsi="Tahoma"/>
      <w:sz w:val="16"/>
      <w:szCs w:val="14"/>
      <w:lang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46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377B85"/>
    <w:pPr>
      <w:suppressAutoHyphens/>
      <w:autoSpaceDE w:val="0"/>
    </w:pPr>
    <w:rPr>
      <w:rFonts w:ascii="Verdana" w:eastAsia="Calibri" w:hAnsi="Verdana" w:cs="Verdan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\Desktop\PR%20Tex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 Text</Template>
  <TotalTime>0</TotalTime>
  <Pages>1</Pages>
  <Words>480</Words>
  <Characters>3360</Characters>
  <Application>Microsoft Office Word</Application>
  <DocSecurity>0</DocSecurity>
  <Lines>45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 Telegramm</vt:lpstr>
    </vt:vector>
  </TitlesOfParts>
  <Company>HUB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Telegramm</dc:title>
  <dc:creator>Reinhold Wulff</dc:creator>
  <cp:lastModifiedBy>Reinhold Wulff</cp:lastModifiedBy>
  <cp:revision>2</cp:revision>
  <cp:lastPrinted>1900-12-31T23:00:00Z</cp:lastPrinted>
  <dcterms:created xsi:type="dcterms:W3CDTF">2015-12-08T13:37:00Z</dcterms:created>
  <dcterms:modified xsi:type="dcterms:W3CDTF">2015-12-08T13:39:00Z</dcterms:modified>
</cp:coreProperties>
</file>